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74"/>
        <w:gridCol w:w="5051"/>
      </w:tblGrid>
      <w:tr w:rsidR="00507725" w:rsidRPr="007D7E0B" w:rsidTr="00B75672">
        <w:tc>
          <w:tcPr>
            <w:tcW w:w="8525" w:type="dxa"/>
            <w:gridSpan w:val="2"/>
            <w:tcBorders>
              <w:bottom w:val="single" w:sz="18" w:space="0" w:color="auto"/>
            </w:tcBorders>
          </w:tcPr>
          <w:p w:rsidR="00507725" w:rsidRDefault="00507725" w:rsidP="00B75672">
            <w:pPr>
              <w:pStyle w:val="Infotext"/>
              <w:rPr>
                <w:rFonts w:ascii="Arial Black" w:hAnsi="Arial Black"/>
                <w:color w:val="999999"/>
                <w:sz w:val="36"/>
                <w:szCs w:val="36"/>
              </w:rPr>
            </w:pPr>
          </w:p>
          <w:p w:rsidR="00507725" w:rsidRDefault="00955840" w:rsidP="00B75672">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16C13D35" wp14:editId="0E55D78C">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507725" w:rsidRDefault="00507725" w:rsidP="00B75672">
            <w:pPr>
              <w:pStyle w:val="Infotext"/>
              <w:rPr>
                <w:rFonts w:ascii="Arial Black" w:hAnsi="Arial Black" w:cs="Arial"/>
                <w:sz w:val="36"/>
                <w:szCs w:val="36"/>
              </w:rPr>
            </w:pPr>
          </w:p>
        </w:tc>
      </w:tr>
      <w:tr w:rsidR="005441BD">
        <w:tc>
          <w:tcPr>
            <w:tcW w:w="3474" w:type="dxa"/>
            <w:tcBorders>
              <w:bottom w:val="single" w:sz="18" w:space="0" w:color="auto"/>
            </w:tcBorders>
          </w:tcPr>
          <w:p w:rsidR="005441BD" w:rsidRPr="004D7310" w:rsidRDefault="004D7310">
            <w:pPr>
              <w:pStyle w:val="Infotext"/>
              <w:rPr>
                <w:rFonts w:ascii="Arial Black" w:hAnsi="Arial Black"/>
                <w:color w:val="999999"/>
                <w:sz w:val="36"/>
                <w:szCs w:val="36"/>
              </w:rPr>
            </w:pPr>
            <w:r w:rsidRPr="004D7310">
              <w:rPr>
                <w:rFonts w:ascii="Arial Black" w:hAnsi="Arial Black"/>
                <w:color w:val="999999"/>
                <w:sz w:val="36"/>
                <w:szCs w:val="36"/>
              </w:rPr>
              <w:t>REPORT FOR:</w:t>
            </w:r>
          </w:p>
          <w:p w:rsidR="005441BD" w:rsidRPr="004D7310" w:rsidRDefault="005441BD">
            <w:pPr>
              <w:pStyle w:val="Infotext"/>
              <w:rPr>
                <w:rFonts w:ascii="Arial Black" w:hAnsi="Arial Black" w:cs="Arial"/>
                <w:sz w:val="36"/>
                <w:szCs w:val="36"/>
              </w:rPr>
            </w:pPr>
          </w:p>
        </w:tc>
        <w:tc>
          <w:tcPr>
            <w:tcW w:w="5051" w:type="dxa"/>
            <w:tcBorders>
              <w:bottom w:val="single" w:sz="18" w:space="0" w:color="auto"/>
            </w:tcBorders>
          </w:tcPr>
          <w:p w:rsidR="005441BD" w:rsidRDefault="00B52CA3">
            <w:pPr>
              <w:pStyle w:val="Infotext"/>
              <w:rPr>
                <w:rFonts w:ascii="Arial Black" w:hAnsi="Arial Black" w:cs="Arial"/>
                <w:sz w:val="36"/>
                <w:szCs w:val="36"/>
              </w:rPr>
            </w:pPr>
            <w:r>
              <w:rPr>
                <w:rFonts w:ascii="Arial Black" w:hAnsi="Arial Black" w:cs="Arial"/>
                <w:sz w:val="36"/>
                <w:szCs w:val="36"/>
              </w:rPr>
              <w:t xml:space="preserve">HEALTH AND SOCIAL CARE </w:t>
            </w:r>
            <w:r w:rsidR="002F046F">
              <w:rPr>
                <w:rFonts w:ascii="Arial Black" w:hAnsi="Arial Black" w:cs="Arial"/>
                <w:sz w:val="36"/>
                <w:szCs w:val="36"/>
              </w:rPr>
              <w:t>SCRUTINY SUB-COMMITTEE</w:t>
            </w:r>
            <w:r>
              <w:rPr>
                <w:rFonts w:ascii="Arial Black" w:hAnsi="Arial Black" w:cs="Arial"/>
                <w:sz w:val="36"/>
                <w:szCs w:val="36"/>
              </w:rPr>
              <w:t xml:space="preserve"> </w:t>
            </w:r>
          </w:p>
          <w:p w:rsidR="004D7310" w:rsidRPr="004D7310" w:rsidRDefault="004D7310">
            <w:pPr>
              <w:pStyle w:val="Infotext"/>
              <w:rPr>
                <w:rFonts w:ascii="Arial Black" w:hAnsi="Arial Black" w:cs="Arial"/>
                <w:sz w:val="36"/>
                <w:szCs w:val="36"/>
              </w:rPr>
            </w:pPr>
          </w:p>
        </w:tc>
      </w:tr>
      <w:tr w:rsidR="005441BD">
        <w:tc>
          <w:tcPr>
            <w:tcW w:w="3474" w:type="dxa"/>
            <w:tcBorders>
              <w:top w:val="single" w:sz="18" w:space="0" w:color="auto"/>
            </w:tcBorders>
          </w:tcPr>
          <w:p w:rsidR="005441BD" w:rsidRPr="004D7310" w:rsidRDefault="005441BD">
            <w:pPr>
              <w:pStyle w:val="Infotext"/>
              <w:rPr>
                <w:rFonts w:ascii="Arial Black" w:hAnsi="Arial Black"/>
              </w:rPr>
            </w:pPr>
            <w:r w:rsidRPr="004D7310">
              <w:rPr>
                <w:rFonts w:ascii="Arial Black" w:hAnsi="Arial Black"/>
              </w:rPr>
              <w:t>Date</w:t>
            </w:r>
            <w:r w:rsidR="00277B96">
              <w:rPr>
                <w:rFonts w:ascii="Arial Black" w:hAnsi="Arial Black"/>
              </w:rPr>
              <w:t xml:space="preserve"> of Meeting</w:t>
            </w:r>
            <w:r w:rsidRPr="004D7310">
              <w:rPr>
                <w:rFonts w:ascii="Arial Black" w:hAnsi="Arial Black"/>
              </w:rPr>
              <w:t>:</w:t>
            </w:r>
          </w:p>
          <w:p w:rsidR="005441BD" w:rsidRPr="004D7310" w:rsidRDefault="005441BD">
            <w:pPr>
              <w:pStyle w:val="Infotext"/>
              <w:rPr>
                <w:rFonts w:ascii="Arial Black" w:hAnsi="Arial Black" w:cs="Arial"/>
              </w:rPr>
            </w:pPr>
          </w:p>
        </w:tc>
        <w:tc>
          <w:tcPr>
            <w:tcW w:w="5051" w:type="dxa"/>
            <w:tcBorders>
              <w:top w:val="single" w:sz="18" w:space="0" w:color="auto"/>
            </w:tcBorders>
          </w:tcPr>
          <w:p w:rsidR="005441BD" w:rsidRDefault="00955840" w:rsidP="00925AAE">
            <w:pPr>
              <w:pStyle w:val="Infotext"/>
              <w:tabs>
                <w:tab w:val="left" w:pos="1086"/>
              </w:tabs>
              <w:rPr>
                <w:rFonts w:cs="Arial"/>
              </w:rPr>
            </w:pPr>
            <w:r>
              <w:rPr>
                <w:rFonts w:cs="Arial"/>
              </w:rPr>
              <w:t>5 November 2019</w:t>
            </w:r>
          </w:p>
        </w:tc>
      </w:tr>
      <w:tr w:rsidR="005441BD">
        <w:tc>
          <w:tcPr>
            <w:tcW w:w="3474" w:type="dxa"/>
          </w:tcPr>
          <w:p w:rsidR="005441BD" w:rsidRPr="004D7310" w:rsidRDefault="005441BD">
            <w:pPr>
              <w:pStyle w:val="Infotext"/>
              <w:rPr>
                <w:rFonts w:ascii="Arial Black" w:hAnsi="Arial Black" w:cs="Arial"/>
              </w:rPr>
            </w:pPr>
            <w:r w:rsidRPr="004D7310">
              <w:rPr>
                <w:rFonts w:ascii="Arial Black" w:hAnsi="Arial Black" w:cs="Arial"/>
              </w:rPr>
              <w:t>Subject:</w:t>
            </w:r>
          </w:p>
          <w:p w:rsidR="005441BD" w:rsidRPr="004D7310" w:rsidRDefault="005441BD">
            <w:pPr>
              <w:pStyle w:val="Infotext"/>
              <w:rPr>
                <w:rFonts w:ascii="Arial Black" w:hAnsi="Arial Black"/>
              </w:rPr>
            </w:pPr>
          </w:p>
        </w:tc>
        <w:tc>
          <w:tcPr>
            <w:tcW w:w="5051" w:type="dxa"/>
          </w:tcPr>
          <w:p w:rsidR="005441BD" w:rsidRDefault="00955840">
            <w:pPr>
              <w:pStyle w:val="Infotext"/>
              <w:rPr>
                <w:rFonts w:cs="Arial"/>
              </w:rPr>
            </w:pPr>
            <w:r w:rsidRPr="00955840">
              <w:rPr>
                <w:rFonts w:cs="Arial"/>
              </w:rPr>
              <w:t xml:space="preserve">Update on recommendations set out in the </w:t>
            </w:r>
            <w:r w:rsidR="008F1AB0">
              <w:rPr>
                <w:rFonts w:cs="Arial"/>
              </w:rPr>
              <w:t>scrutiny report on d</w:t>
            </w:r>
            <w:r w:rsidR="008503F9">
              <w:rPr>
                <w:rFonts w:cs="Arial"/>
              </w:rPr>
              <w:t>ementia</w:t>
            </w:r>
          </w:p>
          <w:p w:rsidR="00955840" w:rsidRDefault="00955840">
            <w:pPr>
              <w:pStyle w:val="Infotext"/>
              <w:rPr>
                <w:rFonts w:cs="Arial"/>
              </w:rPr>
            </w:pPr>
          </w:p>
        </w:tc>
      </w:tr>
      <w:tr w:rsidR="005441BD">
        <w:tc>
          <w:tcPr>
            <w:tcW w:w="3474" w:type="dxa"/>
          </w:tcPr>
          <w:p w:rsidR="005441BD" w:rsidRPr="004D7310" w:rsidRDefault="005441BD">
            <w:pPr>
              <w:pStyle w:val="Infotext"/>
              <w:rPr>
                <w:rFonts w:ascii="Arial Black" w:hAnsi="Arial Black" w:cs="Arial"/>
              </w:rPr>
            </w:pPr>
            <w:r w:rsidRPr="004D7310">
              <w:rPr>
                <w:rFonts w:ascii="Arial Black" w:hAnsi="Arial Black" w:cs="Arial"/>
              </w:rPr>
              <w:t>Responsible Officer:</w:t>
            </w:r>
          </w:p>
          <w:p w:rsidR="005441BD" w:rsidRPr="004D7310" w:rsidRDefault="005441BD">
            <w:pPr>
              <w:pStyle w:val="Infotext"/>
              <w:rPr>
                <w:rFonts w:ascii="Arial Black" w:hAnsi="Arial Black" w:cs="Arial"/>
              </w:rPr>
            </w:pPr>
          </w:p>
        </w:tc>
        <w:tc>
          <w:tcPr>
            <w:tcW w:w="5051" w:type="dxa"/>
          </w:tcPr>
          <w:p w:rsidR="00036698" w:rsidRDefault="00955840">
            <w:pPr>
              <w:pStyle w:val="Infotext"/>
              <w:rPr>
                <w:rFonts w:cs="Arial"/>
              </w:rPr>
            </w:pPr>
            <w:r w:rsidRPr="00955840">
              <w:rPr>
                <w:rFonts w:cs="Arial"/>
              </w:rPr>
              <w:t>Paul Hewitt, Corporate Director</w:t>
            </w:r>
            <w:r w:rsidR="00925AAE">
              <w:rPr>
                <w:rFonts w:cs="Arial"/>
              </w:rPr>
              <w:t xml:space="preserve"> of  People</w:t>
            </w:r>
          </w:p>
          <w:p w:rsidR="00955840" w:rsidRDefault="00955840">
            <w:pPr>
              <w:pStyle w:val="Infotext"/>
              <w:rPr>
                <w:rFonts w:cs="Arial"/>
              </w:rPr>
            </w:pPr>
          </w:p>
        </w:tc>
      </w:tr>
      <w:tr w:rsidR="005441BD">
        <w:tc>
          <w:tcPr>
            <w:tcW w:w="3474" w:type="dxa"/>
          </w:tcPr>
          <w:p w:rsidR="005441BD" w:rsidRPr="004D7310" w:rsidRDefault="00FE2F05">
            <w:pPr>
              <w:pStyle w:val="Infotext"/>
              <w:rPr>
                <w:rFonts w:ascii="Arial Black" w:hAnsi="Arial Black" w:cs="Arial"/>
              </w:rPr>
            </w:pPr>
            <w:r w:rsidRPr="004D7310">
              <w:rPr>
                <w:rFonts w:ascii="Arial Black" w:hAnsi="Arial Black" w:cs="Arial"/>
              </w:rPr>
              <w:t>Scrutiny Lead Member area</w:t>
            </w:r>
            <w:r w:rsidR="005441BD" w:rsidRPr="004D7310">
              <w:rPr>
                <w:rFonts w:ascii="Arial Black" w:hAnsi="Arial Black" w:cs="Arial"/>
              </w:rPr>
              <w:t>:</w:t>
            </w:r>
          </w:p>
          <w:p w:rsidR="005441BD" w:rsidRPr="004D7310" w:rsidRDefault="005441BD">
            <w:pPr>
              <w:pStyle w:val="Infotext"/>
              <w:rPr>
                <w:rFonts w:ascii="Arial Black" w:hAnsi="Arial Black" w:cs="Arial"/>
              </w:rPr>
            </w:pPr>
          </w:p>
        </w:tc>
        <w:tc>
          <w:tcPr>
            <w:tcW w:w="5051" w:type="dxa"/>
          </w:tcPr>
          <w:p w:rsidR="00955840" w:rsidRPr="00955840" w:rsidRDefault="00955840" w:rsidP="00955840">
            <w:pPr>
              <w:pStyle w:val="Infotext"/>
              <w:rPr>
                <w:rFonts w:cs="Arial"/>
              </w:rPr>
            </w:pPr>
            <w:r w:rsidRPr="00955840">
              <w:rPr>
                <w:rFonts w:cs="Arial"/>
              </w:rPr>
              <w:t>Policy Lead  - Councillor Michael Borio</w:t>
            </w:r>
          </w:p>
          <w:p w:rsidR="005441BD" w:rsidRDefault="00955840" w:rsidP="00955840">
            <w:pPr>
              <w:pStyle w:val="Infotext"/>
              <w:rPr>
                <w:rFonts w:cs="Arial"/>
              </w:rPr>
            </w:pPr>
            <w:r w:rsidRPr="00955840">
              <w:rPr>
                <w:rFonts w:cs="Arial"/>
              </w:rPr>
              <w:t>Performance Lead -  Councillor Vina Mithani</w:t>
            </w:r>
          </w:p>
          <w:p w:rsidR="00955840" w:rsidRDefault="00955840" w:rsidP="00955840">
            <w:pPr>
              <w:pStyle w:val="Infotext"/>
              <w:rPr>
                <w:rFonts w:cs="Arial"/>
              </w:rPr>
            </w:pPr>
          </w:p>
        </w:tc>
      </w:tr>
      <w:tr w:rsidR="005441BD">
        <w:tc>
          <w:tcPr>
            <w:tcW w:w="3474" w:type="dxa"/>
          </w:tcPr>
          <w:p w:rsidR="005441BD" w:rsidRPr="004D7310" w:rsidRDefault="005441BD">
            <w:pPr>
              <w:pStyle w:val="Infotext"/>
              <w:rPr>
                <w:rFonts w:ascii="Arial Black" w:hAnsi="Arial Black" w:cs="Arial"/>
              </w:rPr>
            </w:pPr>
            <w:r w:rsidRPr="004D7310">
              <w:rPr>
                <w:rFonts w:ascii="Arial Black" w:hAnsi="Arial Black" w:cs="Arial"/>
              </w:rPr>
              <w:t>Exempt:</w:t>
            </w:r>
          </w:p>
          <w:p w:rsidR="005441BD" w:rsidRPr="004D7310" w:rsidRDefault="005441BD">
            <w:pPr>
              <w:pStyle w:val="Infotext"/>
              <w:rPr>
                <w:rFonts w:ascii="Arial Black" w:hAnsi="Arial Black" w:cs="Arial"/>
              </w:rPr>
            </w:pPr>
          </w:p>
        </w:tc>
        <w:tc>
          <w:tcPr>
            <w:tcW w:w="5051" w:type="dxa"/>
          </w:tcPr>
          <w:p w:rsidR="005441BD" w:rsidRDefault="00955840">
            <w:pPr>
              <w:pStyle w:val="Infotext"/>
              <w:rPr>
                <w:rFonts w:cs="Arial"/>
              </w:rPr>
            </w:pPr>
            <w:r>
              <w:rPr>
                <w:rFonts w:cs="Arial"/>
              </w:rPr>
              <w:t>No</w:t>
            </w:r>
          </w:p>
        </w:tc>
      </w:tr>
      <w:tr w:rsidR="006377D6">
        <w:tc>
          <w:tcPr>
            <w:tcW w:w="3474" w:type="dxa"/>
          </w:tcPr>
          <w:p w:rsidR="006377D6" w:rsidRDefault="006377D6">
            <w:pPr>
              <w:pStyle w:val="Infotext"/>
              <w:rPr>
                <w:rFonts w:ascii="Arial Black" w:hAnsi="Arial Black" w:cs="Arial"/>
              </w:rPr>
            </w:pPr>
            <w:r>
              <w:rPr>
                <w:rFonts w:ascii="Arial Black" w:hAnsi="Arial Black" w:cs="Arial"/>
              </w:rPr>
              <w:t>Wards affected:</w:t>
            </w:r>
          </w:p>
          <w:p w:rsidR="006377D6" w:rsidRPr="004D7310" w:rsidRDefault="006377D6">
            <w:pPr>
              <w:pStyle w:val="Infotext"/>
              <w:rPr>
                <w:rFonts w:ascii="Arial Black" w:hAnsi="Arial Black" w:cs="Arial"/>
              </w:rPr>
            </w:pPr>
          </w:p>
        </w:tc>
        <w:tc>
          <w:tcPr>
            <w:tcW w:w="5051" w:type="dxa"/>
          </w:tcPr>
          <w:p w:rsidR="003A2F0B" w:rsidRPr="003A2F0B" w:rsidRDefault="00955840">
            <w:pPr>
              <w:pStyle w:val="Infotext"/>
              <w:rPr>
                <w:b/>
                <w:color w:val="FF0000"/>
              </w:rPr>
            </w:pPr>
            <w:r>
              <w:t>All</w:t>
            </w:r>
          </w:p>
        </w:tc>
      </w:tr>
      <w:tr w:rsidR="005441BD">
        <w:tc>
          <w:tcPr>
            <w:tcW w:w="3474" w:type="dxa"/>
          </w:tcPr>
          <w:p w:rsidR="005441BD" w:rsidRPr="004D7310" w:rsidRDefault="005441BD">
            <w:pPr>
              <w:pStyle w:val="Infotext"/>
              <w:rPr>
                <w:rFonts w:ascii="Arial Black" w:hAnsi="Arial Black" w:cs="Arial"/>
              </w:rPr>
            </w:pPr>
            <w:r w:rsidRPr="004D7310">
              <w:rPr>
                <w:rFonts w:ascii="Arial Black" w:hAnsi="Arial Black" w:cs="Arial"/>
              </w:rPr>
              <w:t>Enclosures:</w:t>
            </w:r>
          </w:p>
          <w:p w:rsidR="005441BD" w:rsidRPr="004D7310" w:rsidRDefault="005441BD">
            <w:pPr>
              <w:pStyle w:val="Infotext"/>
              <w:rPr>
                <w:rFonts w:ascii="Arial Black" w:hAnsi="Arial Black" w:cs="Arial"/>
              </w:rPr>
            </w:pPr>
          </w:p>
        </w:tc>
        <w:tc>
          <w:tcPr>
            <w:tcW w:w="5051" w:type="dxa"/>
          </w:tcPr>
          <w:p w:rsidR="008503F9" w:rsidRDefault="008503F9" w:rsidP="008503F9">
            <w:pPr>
              <w:pStyle w:val="Infotext"/>
            </w:pPr>
            <w:r>
              <w:t xml:space="preserve">Harrow Joint Dementia Strategy (October 2019), </w:t>
            </w:r>
          </w:p>
          <w:p w:rsidR="005441BD" w:rsidRDefault="008503F9" w:rsidP="008503F9">
            <w:pPr>
              <w:pStyle w:val="Infotext"/>
            </w:pPr>
            <w:r>
              <w:t xml:space="preserve">Addendum: Enhancements to the Dementia Care Pathway </w:t>
            </w:r>
          </w:p>
        </w:tc>
      </w:tr>
    </w:tbl>
    <w:p w:rsidR="00955840" w:rsidRDefault="00955840">
      <w:pPr>
        <w:rPr>
          <w:rFonts w:cs="Arial"/>
        </w:rPr>
      </w:pPr>
    </w:p>
    <w:p w:rsidR="00955840" w:rsidRDefault="00955840">
      <w:pPr>
        <w:rPr>
          <w:rFonts w:cs="Arial"/>
        </w:rPr>
      </w:pPr>
    </w:p>
    <w:p w:rsidR="00955840" w:rsidRDefault="0095584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955840" w:rsidRPr="00955840" w:rsidTr="004430B7">
        <w:tc>
          <w:tcPr>
            <w:tcW w:w="8525" w:type="dxa"/>
            <w:tcBorders>
              <w:top w:val="nil"/>
              <w:left w:val="nil"/>
              <w:right w:val="nil"/>
            </w:tcBorders>
          </w:tcPr>
          <w:p w:rsidR="00955840" w:rsidRPr="00955840" w:rsidRDefault="00955840" w:rsidP="004430B7">
            <w:pPr>
              <w:pStyle w:val="Heading1"/>
              <w:rPr>
                <w:color w:val="000000" w:themeColor="text1"/>
              </w:rPr>
            </w:pPr>
            <w:r w:rsidRPr="00955840">
              <w:rPr>
                <w:color w:val="000000" w:themeColor="text1"/>
              </w:rPr>
              <w:t>Section 1 – Summary and Recommendations</w:t>
            </w:r>
          </w:p>
          <w:p w:rsidR="00955840" w:rsidRPr="00955840" w:rsidRDefault="00955840" w:rsidP="004430B7">
            <w:pPr>
              <w:rPr>
                <w:color w:val="000000" w:themeColor="text1"/>
              </w:rPr>
            </w:pPr>
          </w:p>
        </w:tc>
      </w:tr>
      <w:tr w:rsidR="00955840" w:rsidRPr="00955840" w:rsidTr="004430B7">
        <w:tc>
          <w:tcPr>
            <w:tcW w:w="8525" w:type="dxa"/>
          </w:tcPr>
          <w:p w:rsidR="00955840" w:rsidRPr="00955840" w:rsidRDefault="00955840" w:rsidP="004430B7">
            <w:pPr>
              <w:rPr>
                <w:color w:val="000000" w:themeColor="text1"/>
              </w:rPr>
            </w:pPr>
            <w:r w:rsidRPr="00955840">
              <w:rPr>
                <w:color w:val="000000" w:themeColor="text1"/>
              </w:rPr>
              <w:t xml:space="preserve">This information report sets out to update the </w:t>
            </w:r>
            <w:r w:rsidR="00FD7BB9">
              <w:rPr>
                <w:color w:val="000000" w:themeColor="text1"/>
              </w:rPr>
              <w:t>Health and Social Care Scrutiny Sub-Committee</w:t>
            </w:r>
            <w:r w:rsidRPr="00955840">
              <w:rPr>
                <w:color w:val="000000" w:themeColor="text1"/>
              </w:rPr>
              <w:t xml:space="preserve"> on progress in relation to the recommendations</w:t>
            </w:r>
            <w:r w:rsidR="008503F9">
              <w:rPr>
                <w:color w:val="000000" w:themeColor="text1"/>
              </w:rPr>
              <w:t xml:space="preserve"> originating</w:t>
            </w:r>
            <w:r w:rsidRPr="00955840">
              <w:rPr>
                <w:color w:val="000000" w:themeColor="text1"/>
              </w:rPr>
              <w:t xml:space="preserve"> in the D</w:t>
            </w:r>
            <w:r w:rsidR="006534D6">
              <w:rPr>
                <w:color w:val="000000" w:themeColor="text1"/>
              </w:rPr>
              <w:t>ementia Friendly Housing Report.</w:t>
            </w:r>
          </w:p>
          <w:p w:rsidR="00955840" w:rsidRPr="00955840" w:rsidRDefault="00955840" w:rsidP="004430B7">
            <w:pPr>
              <w:rPr>
                <w:color w:val="000000" w:themeColor="text1"/>
              </w:rPr>
            </w:pPr>
          </w:p>
          <w:p w:rsidR="00955840" w:rsidRPr="00955840" w:rsidRDefault="00955840" w:rsidP="004430B7">
            <w:pPr>
              <w:pStyle w:val="Heading2"/>
              <w:rPr>
                <w:color w:val="000000" w:themeColor="text1"/>
              </w:rPr>
            </w:pPr>
            <w:r w:rsidRPr="00955840">
              <w:rPr>
                <w:color w:val="000000" w:themeColor="text1"/>
              </w:rPr>
              <w:t xml:space="preserve">Recommendations: </w:t>
            </w:r>
          </w:p>
          <w:p w:rsidR="00955840" w:rsidRPr="00955840" w:rsidRDefault="00FD7BB9" w:rsidP="00FD7BB9">
            <w:pPr>
              <w:rPr>
                <w:color w:val="000000" w:themeColor="text1"/>
              </w:rPr>
            </w:pPr>
            <w:r>
              <w:rPr>
                <w:color w:val="000000" w:themeColor="text1"/>
              </w:rPr>
              <w:t>There is no decision required. This paper provides an update</w:t>
            </w:r>
            <w:r w:rsidR="00955840" w:rsidRPr="00955840">
              <w:rPr>
                <w:color w:val="000000" w:themeColor="text1"/>
              </w:rPr>
              <w:t xml:space="preserve"> on progress made on each of the recommendations.</w:t>
            </w:r>
          </w:p>
        </w:tc>
      </w:tr>
    </w:tbl>
    <w:p w:rsidR="00955840" w:rsidRPr="00955840" w:rsidRDefault="00955840" w:rsidP="00955840">
      <w:pPr>
        <w:pStyle w:val="Heading1"/>
        <w:rPr>
          <w:rFonts w:ascii="Arial" w:hAnsi="Arial"/>
          <w:b/>
          <w:color w:val="000000" w:themeColor="text1"/>
          <w:sz w:val="24"/>
          <w:szCs w:val="24"/>
        </w:rPr>
      </w:pPr>
    </w:p>
    <w:p w:rsidR="00955840" w:rsidRPr="00955840" w:rsidRDefault="00955840" w:rsidP="00955840">
      <w:pPr>
        <w:rPr>
          <w:color w:val="000000" w:themeColor="text1"/>
        </w:rPr>
      </w:pPr>
    </w:p>
    <w:p w:rsidR="00955840" w:rsidRPr="00955840" w:rsidRDefault="00955840" w:rsidP="00955840">
      <w:pPr>
        <w:pStyle w:val="Heading1"/>
        <w:jc w:val="both"/>
        <w:rPr>
          <w:color w:val="000000" w:themeColor="text1"/>
        </w:rPr>
      </w:pPr>
      <w:r w:rsidRPr="00955840">
        <w:rPr>
          <w:color w:val="000000" w:themeColor="text1"/>
        </w:rPr>
        <w:lastRenderedPageBreak/>
        <w:t>Section 2 – Report</w:t>
      </w:r>
    </w:p>
    <w:p w:rsidR="00955840" w:rsidRPr="00955840" w:rsidRDefault="00955840" w:rsidP="00955840">
      <w:pPr>
        <w:rPr>
          <w:color w:val="000000" w:themeColor="text1"/>
        </w:rPr>
      </w:pPr>
    </w:p>
    <w:p w:rsidR="00955840" w:rsidRPr="00955840" w:rsidRDefault="00955840" w:rsidP="00955840">
      <w:pPr>
        <w:pStyle w:val="Heading2"/>
        <w:rPr>
          <w:color w:val="000000" w:themeColor="text1"/>
        </w:rPr>
      </w:pPr>
      <w:r w:rsidRPr="00955840">
        <w:rPr>
          <w:color w:val="000000" w:themeColor="text1"/>
        </w:rPr>
        <w:t>Background</w:t>
      </w:r>
    </w:p>
    <w:p w:rsidR="00955840" w:rsidRPr="00955840" w:rsidRDefault="00955840" w:rsidP="00955840">
      <w:pPr>
        <w:rPr>
          <w:color w:val="000000" w:themeColor="text1"/>
        </w:rPr>
      </w:pPr>
    </w:p>
    <w:p w:rsidR="00955840" w:rsidRPr="00955840" w:rsidRDefault="00955840" w:rsidP="00955840">
      <w:pPr>
        <w:rPr>
          <w:rFonts w:cs="Arial"/>
          <w:color w:val="000000" w:themeColor="text1"/>
          <w:szCs w:val="24"/>
          <w:lang w:eastAsia="en-GB"/>
        </w:rPr>
      </w:pPr>
      <w:r w:rsidRPr="00955840">
        <w:rPr>
          <w:rFonts w:cs="Arial"/>
          <w:color w:val="000000" w:themeColor="text1"/>
          <w:szCs w:val="24"/>
          <w:lang w:eastAsia="en-GB"/>
        </w:rPr>
        <w:t xml:space="preserve">In September 2017, the Council’s Health and Social Care Scrutiny Sub-committee agreed that a review should be undertaken on dementia friendly housing in the borough. </w:t>
      </w:r>
    </w:p>
    <w:p w:rsidR="00955840" w:rsidRPr="00955840" w:rsidRDefault="00955840" w:rsidP="00955840">
      <w:pPr>
        <w:rPr>
          <w:rFonts w:cs="Arial"/>
          <w:color w:val="000000" w:themeColor="text1"/>
          <w:szCs w:val="24"/>
          <w:lang w:eastAsia="en-GB"/>
        </w:rPr>
      </w:pPr>
    </w:p>
    <w:p w:rsidR="00955840" w:rsidRPr="00955840" w:rsidRDefault="00955840" w:rsidP="00955840">
      <w:pPr>
        <w:rPr>
          <w:rFonts w:cs="Arial"/>
          <w:color w:val="000000" w:themeColor="text1"/>
          <w:szCs w:val="24"/>
          <w:lang w:eastAsia="en-GB"/>
        </w:rPr>
      </w:pPr>
      <w:r w:rsidRPr="00955840">
        <w:rPr>
          <w:rFonts w:cs="Arial"/>
          <w:color w:val="000000" w:themeColor="text1"/>
          <w:szCs w:val="24"/>
          <w:lang w:eastAsia="en-GB"/>
        </w:rPr>
        <w:t>The research undertaken for the report indicated the need for some long-term strategic thinking by Harrow Council in order to ensure that it is able to meet and manage the needs of a growing ageing population with complex needs, utilising current resources and opportunities, against a backdrop of increasing financial pressures and limited resources.</w:t>
      </w:r>
    </w:p>
    <w:p w:rsidR="00955840" w:rsidRPr="00955840" w:rsidRDefault="00955840" w:rsidP="00955840">
      <w:pPr>
        <w:rPr>
          <w:rFonts w:cs="Arial"/>
          <w:color w:val="000000" w:themeColor="text1"/>
          <w:szCs w:val="24"/>
          <w:lang w:eastAsia="en-GB"/>
        </w:rPr>
      </w:pPr>
    </w:p>
    <w:p w:rsidR="00955840" w:rsidRPr="00955840" w:rsidRDefault="00955840" w:rsidP="00955840">
      <w:pPr>
        <w:rPr>
          <w:rFonts w:cs="Arial"/>
          <w:color w:val="000000" w:themeColor="text1"/>
          <w:szCs w:val="24"/>
          <w:lang w:eastAsia="en-GB"/>
        </w:rPr>
      </w:pPr>
      <w:r w:rsidRPr="00955840">
        <w:rPr>
          <w:rFonts w:cs="Arial"/>
          <w:color w:val="000000" w:themeColor="text1"/>
          <w:szCs w:val="24"/>
          <w:lang w:eastAsia="en-GB"/>
        </w:rPr>
        <w:t>Through the evidence gathered, five recommendations were formed. This report provides an update against each of the recommendations as to the progress made.</w:t>
      </w:r>
    </w:p>
    <w:p w:rsidR="00955840" w:rsidRPr="00955840" w:rsidRDefault="00955840" w:rsidP="00955840">
      <w:pPr>
        <w:rPr>
          <w:rFonts w:cs="Arial"/>
          <w:color w:val="000000" w:themeColor="text1"/>
          <w:szCs w:val="24"/>
          <w:lang w:eastAsia="en-GB"/>
        </w:rPr>
      </w:pPr>
    </w:p>
    <w:p w:rsidR="00955840" w:rsidRPr="00955840" w:rsidRDefault="00955840" w:rsidP="00955840">
      <w:pPr>
        <w:pStyle w:val="Heading2"/>
        <w:rPr>
          <w:color w:val="000000" w:themeColor="text1"/>
        </w:rPr>
      </w:pPr>
    </w:p>
    <w:p w:rsidR="00955840" w:rsidRPr="00955840" w:rsidRDefault="00955840" w:rsidP="00955840">
      <w:pPr>
        <w:pStyle w:val="Heading2"/>
        <w:rPr>
          <w:color w:val="000000" w:themeColor="text1"/>
        </w:rPr>
      </w:pPr>
      <w:r w:rsidRPr="00955840">
        <w:rPr>
          <w:color w:val="000000" w:themeColor="text1"/>
        </w:rPr>
        <w:t>Updates on Recommendations</w:t>
      </w:r>
    </w:p>
    <w:p w:rsidR="00955840" w:rsidRPr="00955840" w:rsidRDefault="00955840" w:rsidP="00955840">
      <w:pPr>
        <w:rPr>
          <w:color w:val="000000" w:themeColor="text1"/>
        </w:rPr>
      </w:pPr>
    </w:p>
    <w:p w:rsidR="00955840" w:rsidRPr="00955840" w:rsidRDefault="00955840" w:rsidP="00955840">
      <w:pPr>
        <w:jc w:val="both"/>
        <w:rPr>
          <w:rFonts w:cs="Arial"/>
          <w:b/>
          <w:color w:val="000000" w:themeColor="text1"/>
          <w:szCs w:val="24"/>
        </w:rPr>
      </w:pPr>
      <w:r w:rsidRPr="00955840">
        <w:rPr>
          <w:rFonts w:cs="Arial"/>
          <w:b/>
          <w:color w:val="000000" w:themeColor="text1"/>
          <w:szCs w:val="24"/>
        </w:rPr>
        <w:t xml:space="preserve">Recommendation 1 </w:t>
      </w:r>
    </w:p>
    <w:p w:rsidR="00955840" w:rsidRPr="00955840" w:rsidRDefault="00955840" w:rsidP="00955840">
      <w:pPr>
        <w:spacing w:after="100" w:afterAutospacing="1"/>
        <w:jc w:val="both"/>
        <w:rPr>
          <w:rFonts w:cs="Arial"/>
          <w:color w:val="000000" w:themeColor="text1"/>
          <w:szCs w:val="24"/>
        </w:rPr>
      </w:pPr>
      <w:r w:rsidRPr="00955840">
        <w:rPr>
          <w:rFonts w:cs="Arial"/>
          <w:color w:val="000000" w:themeColor="text1"/>
          <w:szCs w:val="24"/>
        </w:rPr>
        <w:t>Harrow Council undertakes a detailed and comprehensive needs analysis of demand for accommodation and support for older people in the borough and those diagnosed with dementia and other complex conditions.</w:t>
      </w:r>
    </w:p>
    <w:p w:rsidR="00955840" w:rsidRPr="00955840" w:rsidRDefault="00955840" w:rsidP="00955840">
      <w:pPr>
        <w:spacing w:after="100" w:afterAutospacing="1"/>
        <w:jc w:val="both"/>
        <w:rPr>
          <w:rFonts w:cs="Arial"/>
          <w:b/>
          <w:color w:val="000000" w:themeColor="text1"/>
          <w:szCs w:val="24"/>
        </w:rPr>
      </w:pPr>
      <w:r w:rsidRPr="00955840">
        <w:rPr>
          <w:rFonts w:cs="Arial"/>
          <w:b/>
          <w:color w:val="000000" w:themeColor="text1"/>
          <w:szCs w:val="24"/>
        </w:rPr>
        <w:t xml:space="preserve">Update: </w:t>
      </w:r>
    </w:p>
    <w:p w:rsidR="00955840" w:rsidRPr="00955840" w:rsidRDefault="00955840" w:rsidP="00955840">
      <w:pPr>
        <w:rPr>
          <w:color w:val="000000" w:themeColor="text1"/>
        </w:rPr>
      </w:pPr>
      <w:r w:rsidRPr="00955840">
        <w:rPr>
          <w:color w:val="000000" w:themeColor="text1"/>
        </w:rPr>
        <w:t xml:space="preserve">The statistical modelling exercise to </w:t>
      </w:r>
      <w:r w:rsidRPr="00955840">
        <w:rPr>
          <w:rFonts w:eastAsia="Calibri" w:cs="Arial"/>
          <w:color w:val="000000" w:themeColor="text1"/>
          <w:szCs w:val="22"/>
          <w:lang w:eastAsia="en-GB"/>
        </w:rPr>
        <w:t xml:space="preserve">analyse demand for Extra Care housing* </w:t>
      </w:r>
      <w:r w:rsidRPr="00955840">
        <w:rPr>
          <w:color w:val="000000" w:themeColor="text1"/>
        </w:rPr>
        <w:t>was completed in October 2018.  This was done by Harrow Council's Business Intelligence Unit and social care team managers.</w:t>
      </w:r>
    </w:p>
    <w:p w:rsidR="00955840" w:rsidRPr="00955840" w:rsidRDefault="00955840" w:rsidP="00955840">
      <w:pPr>
        <w:autoSpaceDE w:val="0"/>
        <w:autoSpaceDN w:val="0"/>
        <w:adjustRightInd w:val="0"/>
        <w:rPr>
          <w:rFonts w:eastAsia="Calibri" w:cs="Arial"/>
          <w:color w:val="000000" w:themeColor="text1"/>
          <w:szCs w:val="22"/>
          <w:lang w:eastAsia="en-GB"/>
        </w:rPr>
      </w:pPr>
    </w:p>
    <w:p w:rsidR="00955840" w:rsidRPr="00955840" w:rsidRDefault="00955840" w:rsidP="00955840">
      <w:pPr>
        <w:autoSpaceDE w:val="0"/>
        <w:autoSpaceDN w:val="0"/>
        <w:adjustRightInd w:val="0"/>
        <w:rPr>
          <w:rFonts w:eastAsia="Calibri" w:cs="Arial"/>
          <w:color w:val="000000" w:themeColor="text1"/>
          <w:szCs w:val="22"/>
          <w:lang w:eastAsia="en-GB"/>
        </w:rPr>
      </w:pPr>
      <w:r w:rsidRPr="00955840">
        <w:rPr>
          <w:rFonts w:eastAsia="Calibri" w:cs="Arial"/>
          <w:color w:val="000000" w:themeColor="text1"/>
          <w:szCs w:val="22"/>
          <w:lang w:eastAsia="en-GB"/>
        </w:rPr>
        <w:t xml:space="preserve">The results estimate that by 2025 a range of between 153-580 people referred to the local authority could be catered for with Extra Care housing, depending on the type of provision and financial arrangements involved and relevant provision available to meet diverse cultural needs. </w:t>
      </w:r>
    </w:p>
    <w:p w:rsidR="00955840" w:rsidRPr="00955840" w:rsidRDefault="00955840" w:rsidP="00955840">
      <w:pPr>
        <w:autoSpaceDE w:val="0"/>
        <w:autoSpaceDN w:val="0"/>
        <w:adjustRightInd w:val="0"/>
        <w:rPr>
          <w:rFonts w:eastAsia="Calibri" w:cs="Arial"/>
          <w:color w:val="000000" w:themeColor="text1"/>
          <w:szCs w:val="22"/>
          <w:lang w:eastAsia="en-GB"/>
        </w:rPr>
      </w:pPr>
    </w:p>
    <w:p w:rsidR="00955840" w:rsidRDefault="00955840" w:rsidP="005550E8">
      <w:pPr>
        <w:autoSpaceDE w:val="0"/>
        <w:autoSpaceDN w:val="0"/>
        <w:adjustRightInd w:val="0"/>
        <w:rPr>
          <w:rFonts w:eastAsia="Calibri" w:cs="Arial"/>
          <w:color w:val="000000" w:themeColor="text1"/>
          <w:szCs w:val="22"/>
          <w:lang w:eastAsia="en-GB"/>
        </w:rPr>
      </w:pPr>
      <w:r w:rsidRPr="00955840">
        <w:rPr>
          <w:rFonts w:cs="Arial"/>
          <w:color w:val="000000" w:themeColor="text1"/>
          <w:lang w:eastAsia="en-GB"/>
        </w:rPr>
        <w:t>Harrow Council’s Housing and Adult Social Care departments have been working together to explore ways to increase the supply of Extra Care Housing for Older People in the Borough, with the aim to meet the housing, care and support needs of older people as an alternative to residential care and maintain health and wellbeing needs.</w:t>
      </w:r>
      <w:r w:rsidRPr="00955840">
        <w:rPr>
          <w:rFonts w:eastAsia="Calibri" w:cs="Arial"/>
          <w:color w:val="000000" w:themeColor="text1"/>
          <w:szCs w:val="22"/>
          <w:lang w:eastAsia="en-GB"/>
        </w:rPr>
        <w:t xml:space="preserve"> </w:t>
      </w:r>
    </w:p>
    <w:p w:rsidR="005550E8" w:rsidRPr="005550E8" w:rsidRDefault="005550E8" w:rsidP="005550E8">
      <w:pPr>
        <w:autoSpaceDE w:val="0"/>
        <w:autoSpaceDN w:val="0"/>
        <w:adjustRightInd w:val="0"/>
        <w:rPr>
          <w:rFonts w:eastAsia="Calibri" w:cs="Arial"/>
          <w:color w:val="000000" w:themeColor="text1"/>
          <w:szCs w:val="22"/>
          <w:lang w:eastAsia="en-GB"/>
        </w:rPr>
      </w:pPr>
    </w:p>
    <w:p w:rsidR="00955840" w:rsidRPr="00955840" w:rsidRDefault="00955840" w:rsidP="00955840">
      <w:pPr>
        <w:spacing w:after="100" w:afterAutospacing="1"/>
        <w:jc w:val="both"/>
        <w:rPr>
          <w:rFonts w:cs="Arial"/>
          <w:color w:val="000000" w:themeColor="text1"/>
          <w:lang w:eastAsia="en-GB"/>
        </w:rPr>
      </w:pPr>
      <w:r w:rsidRPr="00955840">
        <w:rPr>
          <w:rFonts w:cs="Arial"/>
          <w:color w:val="000000" w:themeColor="text1"/>
          <w:lang w:eastAsia="en-GB"/>
        </w:rPr>
        <w:t xml:space="preserve">There is currently one Extra Care scheme in Harrow, Ewart House (Harrow Churches Housing Association) however additional Extra Care homes are in the pipeline. </w:t>
      </w:r>
    </w:p>
    <w:p w:rsidR="00955840" w:rsidRPr="00955840" w:rsidRDefault="00955840" w:rsidP="00955840">
      <w:pPr>
        <w:spacing w:after="100" w:afterAutospacing="1"/>
        <w:jc w:val="both"/>
        <w:rPr>
          <w:rFonts w:cs="Arial"/>
          <w:color w:val="000000" w:themeColor="text1"/>
          <w:lang w:eastAsia="en-GB"/>
        </w:rPr>
      </w:pPr>
      <w:r w:rsidRPr="00955840">
        <w:rPr>
          <w:rFonts w:cs="Arial"/>
          <w:color w:val="000000" w:themeColor="text1"/>
          <w:lang w:eastAsia="en-GB"/>
        </w:rPr>
        <w:t>This includes Watkins House, having been transferred from Harrow Council to Harrow Churches Housing Association. The redevelopment of the site will provide 56 Extra Care homes expected to be available by spring 2021.</w:t>
      </w:r>
    </w:p>
    <w:p w:rsidR="00955840" w:rsidRPr="00955840" w:rsidRDefault="00955840" w:rsidP="00955840">
      <w:pPr>
        <w:spacing w:after="100" w:afterAutospacing="1"/>
        <w:jc w:val="both"/>
        <w:rPr>
          <w:rFonts w:cs="Arial"/>
          <w:color w:val="000000" w:themeColor="text1"/>
          <w:lang w:eastAsia="en-GB"/>
        </w:rPr>
      </w:pPr>
      <w:r w:rsidRPr="00955840">
        <w:rPr>
          <w:rFonts w:cs="Arial"/>
          <w:color w:val="000000" w:themeColor="text1"/>
          <w:lang w:eastAsia="en-GB"/>
        </w:rPr>
        <w:lastRenderedPageBreak/>
        <w:t xml:space="preserve">The Wolstenholme &amp; Rectory site (Harrow Churches Housing Association) has achieved planning permission and will provide 57 units (replacing the 32 current units of sheltered housing on part of the site and thus a net increase of 25).  </w:t>
      </w:r>
    </w:p>
    <w:p w:rsidR="00955840" w:rsidRPr="00955840" w:rsidRDefault="00955840" w:rsidP="00955840">
      <w:pPr>
        <w:spacing w:after="100" w:afterAutospacing="1"/>
        <w:jc w:val="both"/>
        <w:rPr>
          <w:rFonts w:cs="Arial"/>
          <w:color w:val="000000" w:themeColor="text1"/>
          <w:lang w:eastAsia="en-GB"/>
        </w:rPr>
      </w:pPr>
      <w:r w:rsidRPr="00955840">
        <w:rPr>
          <w:rFonts w:cs="Arial"/>
          <w:color w:val="000000" w:themeColor="text1"/>
          <w:lang w:eastAsia="en-GB"/>
        </w:rPr>
        <w:t xml:space="preserve">The Council has requested the developer of Harrow View East / Kodak provides an Extra Care housing scheme as part of the affordable housing contribution for the site and plans have been progressed with Housing and Adult Social Care involved in the detailed design discussions.   </w:t>
      </w:r>
    </w:p>
    <w:p w:rsidR="00955840" w:rsidRPr="00955840" w:rsidRDefault="00955840" w:rsidP="00955840">
      <w:pPr>
        <w:spacing w:after="100" w:afterAutospacing="1"/>
        <w:jc w:val="both"/>
        <w:rPr>
          <w:rFonts w:cs="Arial"/>
          <w:color w:val="000000" w:themeColor="text1"/>
          <w:lang w:eastAsia="en-GB"/>
        </w:rPr>
      </w:pPr>
      <w:r w:rsidRPr="00955840">
        <w:rPr>
          <w:rFonts w:cs="Arial"/>
          <w:color w:val="000000" w:themeColor="text1"/>
          <w:lang w:eastAsia="en-GB"/>
        </w:rPr>
        <w:t xml:space="preserve">Opportunities for additional Extra Care developments are being reviewed on an ongoing basis.  The financial implications of schemes will be considered on the basis of individual business cases, with the care support provided subject to procurement. </w:t>
      </w:r>
    </w:p>
    <w:p w:rsidR="00955840" w:rsidRPr="00955840" w:rsidRDefault="00955840" w:rsidP="00955840">
      <w:pPr>
        <w:spacing w:after="100" w:afterAutospacing="1"/>
        <w:jc w:val="both"/>
        <w:rPr>
          <w:rFonts w:cs="Arial"/>
          <w:i/>
          <w:color w:val="000000" w:themeColor="text1"/>
          <w:lang w:eastAsia="en-GB"/>
        </w:rPr>
      </w:pPr>
      <w:r w:rsidRPr="00955840">
        <w:rPr>
          <w:rFonts w:cs="Arial"/>
          <w:i/>
          <w:color w:val="000000" w:themeColor="text1"/>
          <w:lang w:eastAsia="en-GB"/>
        </w:rPr>
        <w:t>*</w:t>
      </w:r>
      <w:r w:rsidRPr="00955840">
        <w:rPr>
          <w:i/>
          <w:color w:val="000000" w:themeColor="text1"/>
        </w:rPr>
        <w:t xml:space="preserve"> </w:t>
      </w:r>
      <w:r w:rsidRPr="00955840">
        <w:rPr>
          <w:rFonts w:cs="Arial"/>
          <w:i/>
          <w:color w:val="000000" w:themeColor="text1"/>
          <w:lang w:eastAsia="en-GB"/>
        </w:rPr>
        <w:t>Extra care housing is a type of housing which helps people to maintain their independence as far as is reasonably practicable. Extra Care housing provides self-contained accommodation with access to onsite care services enabling people to continue to live in the community to avoid becoming isolated.</w:t>
      </w:r>
    </w:p>
    <w:p w:rsidR="00955840" w:rsidRPr="00955840" w:rsidRDefault="00955840" w:rsidP="00955840">
      <w:pPr>
        <w:jc w:val="both"/>
        <w:rPr>
          <w:rFonts w:cs="Arial"/>
          <w:b/>
          <w:color w:val="000000" w:themeColor="text1"/>
          <w:szCs w:val="24"/>
        </w:rPr>
      </w:pPr>
      <w:r w:rsidRPr="00955840">
        <w:rPr>
          <w:rFonts w:cs="Arial"/>
          <w:b/>
          <w:color w:val="000000" w:themeColor="text1"/>
          <w:szCs w:val="24"/>
        </w:rPr>
        <w:t xml:space="preserve">Recommendation 2 </w:t>
      </w:r>
    </w:p>
    <w:p w:rsidR="00955840" w:rsidRPr="00955840" w:rsidRDefault="00955840" w:rsidP="00955840">
      <w:pPr>
        <w:jc w:val="both"/>
        <w:rPr>
          <w:rFonts w:cs="Arial"/>
          <w:color w:val="000000" w:themeColor="text1"/>
          <w:szCs w:val="24"/>
        </w:rPr>
      </w:pPr>
      <w:r w:rsidRPr="00955840">
        <w:rPr>
          <w:rFonts w:cs="Arial"/>
          <w:color w:val="000000" w:themeColor="text1"/>
          <w:szCs w:val="24"/>
        </w:rPr>
        <w:t xml:space="preserve">The outcomes of the intermediate care and wellbeing scheme on an existing site in Pinner Road, Headstone South Ward (if successful) be considered as a business case for developing a cost neutral solution for Extra Care housing within regeneration plans for Poets Corner (site of the Current Civic Centre). </w:t>
      </w:r>
    </w:p>
    <w:p w:rsidR="00955840" w:rsidRPr="00955840" w:rsidRDefault="00955840" w:rsidP="00955840">
      <w:pPr>
        <w:jc w:val="both"/>
        <w:rPr>
          <w:rFonts w:cs="Arial"/>
          <w:color w:val="000000" w:themeColor="text1"/>
          <w:szCs w:val="24"/>
        </w:rPr>
      </w:pPr>
    </w:p>
    <w:p w:rsidR="00955840" w:rsidRPr="00955840" w:rsidRDefault="00955840" w:rsidP="00955840">
      <w:pPr>
        <w:jc w:val="both"/>
        <w:rPr>
          <w:rFonts w:cs="Arial"/>
          <w:b/>
          <w:color w:val="000000" w:themeColor="text1"/>
          <w:szCs w:val="24"/>
        </w:rPr>
      </w:pPr>
      <w:r w:rsidRPr="00955840">
        <w:rPr>
          <w:rFonts w:cs="Arial"/>
          <w:b/>
          <w:color w:val="000000" w:themeColor="text1"/>
          <w:szCs w:val="24"/>
        </w:rPr>
        <w:t xml:space="preserve">Update: </w:t>
      </w:r>
    </w:p>
    <w:p w:rsidR="00955840" w:rsidRPr="00955840" w:rsidRDefault="00955840" w:rsidP="00955840">
      <w:pPr>
        <w:jc w:val="both"/>
        <w:rPr>
          <w:rFonts w:cs="Arial"/>
          <w:color w:val="000000" w:themeColor="text1"/>
          <w:szCs w:val="24"/>
        </w:rPr>
      </w:pPr>
    </w:p>
    <w:p w:rsidR="00955840" w:rsidRPr="00955840" w:rsidRDefault="00955840" w:rsidP="00955840">
      <w:pPr>
        <w:jc w:val="both"/>
        <w:rPr>
          <w:rFonts w:cs="Arial"/>
          <w:color w:val="000000" w:themeColor="text1"/>
          <w:szCs w:val="24"/>
        </w:rPr>
      </w:pPr>
      <w:r w:rsidRPr="00955840">
        <w:rPr>
          <w:rFonts w:cs="Arial"/>
          <w:color w:val="000000" w:themeColor="text1"/>
          <w:szCs w:val="24"/>
        </w:rPr>
        <w:t>A cross directorate officer group is now established and exploring options that will increase the range of housing options available to older people in Harrow. A number of site options will be reviewed for the provision of new Extra Care and Extra Care plus housing with the ability to cater for people with dementia, including the potential for development on the Poets Corner site. These opportunities will be considered within the context of best practice and in accordance with the draft London Plan, with reference to some of the examples explored by the Scrutiny Committee. Consideration will also be given to the potential for existing older persons housing schemes to be upgraded to better meet the needs of frailer older people.</w:t>
      </w:r>
    </w:p>
    <w:p w:rsidR="00955840" w:rsidRPr="00955840" w:rsidRDefault="00955840" w:rsidP="00955840">
      <w:pPr>
        <w:jc w:val="both"/>
        <w:rPr>
          <w:rFonts w:cs="Arial"/>
          <w:color w:val="000000" w:themeColor="text1"/>
          <w:szCs w:val="24"/>
        </w:rPr>
      </w:pPr>
    </w:p>
    <w:p w:rsidR="00955840" w:rsidRPr="00955840" w:rsidRDefault="00955840" w:rsidP="00955840">
      <w:pPr>
        <w:jc w:val="both"/>
        <w:rPr>
          <w:rFonts w:eastAsia="Calibri" w:cs="Arial"/>
          <w:color w:val="000000" w:themeColor="text1"/>
          <w:szCs w:val="22"/>
          <w:lang w:eastAsia="en-GB"/>
        </w:rPr>
      </w:pPr>
      <w:r w:rsidRPr="00955840">
        <w:rPr>
          <w:rFonts w:eastAsia="Calibri" w:cs="Arial"/>
          <w:color w:val="000000" w:themeColor="text1"/>
          <w:szCs w:val="22"/>
          <w:lang w:eastAsia="en-GB"/>
        </w:rPr>
        <w:t>A report on Extra Care Housing was presented to Cabinet on 15 November 2018. The report set out the Adults Social Care vision for extra care housing in Harrow and the strategy to increase the supply of extra care housing for older people in Harrow.</w:t>
      </w:r>
    </w:p>
    <w:p w:rsidR="00955840" w:rsidRPr="00955840" w:rsidRDefault="00955840" w:rsidP="00955840">
      <w:pPr>
        <w:jc w:val="both"/>
        <w:rPr>
          <w:rFonts w:eastAsia="Calibri" w:cs="Arial"/>
          <w:color w:val="000000" w:themeColor="text1"/>
          <w:szCs w:val="22"/>
          <w:lang w:eastAsia="en-GB"/>
        </w:rPr>
      </w:pPr>
    </w:p>
    <w:p w:rsidR="00955840" w:rsidRPr="00955840" w:rsidRDefault="00955840" w:rsidP="00955840">
      <w:pPr>
        <w:jc w:val="both"/>
        <w:rPr>
          <w:rFonts w:cs="Arial"/>
          <w:color w:val="000000" w:themeColor="text1"/>
          <w:szCs w:val="24"/>
        </w:rPr>
      </w:pPr>
      <w:r w:rsidRPr="00955840">
        <w:rPr>
          <w:rFonts w:cs="Arial"/>
          <w:color w:val="000000" w:themeColor="text1"/>
          <w:szCs w:val="24"/>
        </w:rPr>
        <w:t>Reports will be brought back to Cabinet as options are identified and business cases and funding arrangements developed.</w:t>
      </w:r>
    </w:p>
    <w:p w:rsidR="00955840" w:rsidRPr="00955840" w:rsidRDefault="00955840" w:rsidP="00955840">
      <w:pPr>
        <w:jc w:val="both"/>
        <w:rPr>
          <w:rFonts w:cs="Arial"/>
          <w:color w:val="000000" w:themeColor="text1"/>
          <w:szCs w:val="24"/>
        </w:rPr>
      </w:pPr>
    </w:p>
    <w:p w:rsidR="00955840" w:rsidRPr="00955840" w:rsidRDefault="00955840" w:rsidP="00955840">
      <w:pPr>
        <w:jc w:val="both"/>
        <w:rPr>
          <w:rFonts w:cs="Arial"/>
          <w:b/>
          <w:color w:val="000000" w:themeColor="text1"/>
          <w:szCs w:val="24"/>
        </w:rPr>
      </w:pPr>
    </w:p>
    <w:p w:rsidR="00955840" w:rsidRPr="00955840" w:rsidRDefault="00955840" w:rsidP="00955840">
      <w:pPr>
        <w:jc w:val="both"/>
        <w:rPr>
          <w:rFonts w:cs="Arial"/>
          <w:b/>
          <w:color w:val="000000" w:themeColor="text1"/>
          <w:szCs w:val="24"/>
        </w:rPr>
      </w:pPr>
      <w:r w:rsidRPr="00955840">
        <w:rPr>
          <w:rFonts w:cs="Arial"/>
          <w:b/>
          <w:color w:val="000000" w:themeColor="text1"/>
          <w:szCs w:val="24"/>
        </w:rPr>
        <w:t xml:space="preserve">Recommendation 3 </w:t>
      </w:r>
    </w:p>
    <w:p w:rsidR="00955840" w:rsidRPr="00955840" w:rsidRDefault="00955840" w:rsidP="00955840">
      <w:pPr>
        <w:jc w:val="both"/>
        <w:rPr>
          <w:rFonts w:cs="Arial"/>
          <w:b/>
          <w:color w:val="000000" w:themeColor="text1"/>
          <w:szCs w:val="24"/>
        </w:rPr>
      </w:pPr>
      <w:r w:rsidRPr="00955840">
        <w:rPr>
          <w:rFonts w:cs="Arial"/>
          <w:color w:val="000000" w:themeColor="text1"/>
          <w:szCs w:val="24"/>
        </w:rPr>
        <w:t>Harrow Council produces an older people’s housing strategy, which is incorporated within the Council’s revised Housing Strategy.</w:t>
      </w:r>
    </w:p>
    <w:p w:rsidR="00955840" w:rsidRPr="00955840" w:rsidRDefault="00955840" w:rsidP="00955840">
      <w:pPr>
        <w:jc w:val="both"/>
        <w:rPr>
          <w:rFonts w:cs="Arial"/>
          <w:color w:val="000000" w:themeColor="text1"/>
          <w:szCs w:val="24"/>
        </w:rPr>
      </w:pPr>
      <w:r w:rsidRPr="00955840">
        <w:rPr>
          <w:rFonts w:cs="Arial"/>
          <w:color w:val="000000" w:themeColor="text1"/>
          <w:szCs w:val="24"/>
        </w:rPr>
        <w:t>The strategy should:</w:t>
      </w:r>
    </w:p>
    <w:p w:rsidR="00955840" w:rsidRPr="00955840" w:rsidRDefault="00955840" w:rsidP="00955840">
      <w:pPr>
        <w:jc w:val="both"/>
        <w:rPr>
          <w:rFonts w:cs="Arial"/>
          <w:color w:val="000000" w:themeColor="text1"/>
          <w:szCs w:val="24"/>
        </w:rPr>
      </w:pPr>
    </w:p>
    <w:p w:rsidR="00955840" w:rsidRPr="00955840" w:rsidRDefault="00955840" w:rsidP="00955840">
      <w:pPr>
        <w:jc w:val="both"/>
        <w:rPr>
          <w:rFonts w:cs="Arial"/>
          <w:color w:val="000000" w:themeColor="text1"/>
          <w:szCs w:val="24"/>
        </w:rPr>
      </w:pPr>
      <w:r w:rsidRPr="00955840">
        <w:rPr>
          <w:rFonts w:cs="Arial"/>
          <w:color w:val="000000" w:themeColor="text1"/>
          <w:szCs w:val="24"/>
        </w:rPr>
        <w:t xml:space="preserve">a) Take into account the provisions made for and funding available to develop specialist older people’s housing to support older people diagnosed with dementia; </w:t>
      </w:r>
    </w:p>
    <w:p w:rsidR="00955840" w:rsidRPr="00955840" w:rsidRDefault="00955840" w:rsidP="00955840">
      <w:pPr>
        <w:jc w:val="both"/>
        <w:rPr>
          <w:rFonts w:cs="Arial"/>
          <w:color w:val="000000" w:themeColor="text1"/>
          <w:szCs w:val="24"/>
        </w:rPr>
      </w:pPr>
    </w:p>
    <w:p w:rsidR="00955840" w:rsidRPr="00955840" w:rsidRDefault="00955840" w:rsidP="00955840">
      <w:pPr>
        <w:jc w:val="both"/>
        <w:rPr>
          <w:rFonts w:cs="Arial"/>
          <w:color w:val="000000" w:themeColor="text1"/>
          <w:szCs w:val="24"/>
        </w:rPr>
      </w:pPr>
      <w:r w:rsidRPr="00955840">
        <w:rPr>
          <w:rFonts w:cs="Arial"/>
          <w:color w:val="000000" w:themeColor="text1"/>
          <w:szCs w:val="24"/>
        </w:rPr>
        <w:t>b) Take into account the policies and targets set within the Mayor’s new Housing strategy and draft London Plan, with regard to the provision of specialist housing for older people with dementia;</w:t>
      </w:r>
    </w:p>
    <w:p w:rsidR="00955840" w:rsidRPr="00955840" w:rsidRDefault="00955840" w:rsidP="00955840">
      <w:pPr>
        <w:jc w:val="both"/>
        <w:rPr>
          <w:rFonts w:cs="Arial"/>
          <w:color w:val="000000" w:themeColor="text1"/>
          <w:szCs w:val="24"/>
        </w:rPr>
      </w:pPr>
    </w:p>
    <w:p w:rsidR="00955840" w:rsidRPr="00955840" w:rsidRDefault="00955840" w:rsidP="00955840">
      <w:pPr>
        <w:jc w:val="both"/>
        <w:rPr>
          <w:rFonts w:cs="Arial"/>
          <w:color w:val="000000" w:themeColor="text1"/>
          <w:szCs w:val="24"/>
        </w:rPr>
      </w:pPr>
      <w:r w:rsidRPr="00955840">
        <w:rPr>
          <w:rFonts w:cs="Arial"/>
          <w:color w:val="000000" w:themeColor="text1"/>
          <w:szCs w:val="24"/>
        </w:rPr>
        <w:t xml:space="preserve">c) Be integrated with health and adult social care priorities and provide a holistic approach to meeting the needs of older people with dementia as their condition progresses; </w:t>
      </w:r>
    </w:p>
    <w:p w:rsidR="00955840" w:rsidRPr="00955840" w:rsidRDefault="00955840" w:rsidP="00955840">
      <w:pPr>
        <w:jc w:val="both"/>
        <w:rPr>
          <w:rFonts w:cs="Arial"/>
          <w:color w:val="000000" w:themeColor="text1"/>
          <w:szCs w:val="24"/>
        </w:rPr>
      </w:pPr>
    </w:p>
    <w:p w:rsidR="00955840" w:rsidRPr="00955840" w:rsidRDefault="00955840" w:rsidP="00955840">
      <w:pPr>
        <w:jc w:val="both"/>
        <w:rPr>
          <w:rFonts w:cs="Arial"/>
          <w:color w:val="000000" w:themeColor="text1"/>
          <w:szCs w:val="24"/>
        </w:rPr>
      </w:pPr>
      <w:r w:rsidRPr="00955840">
        <w:rPr>
          <w:rFonts w:cs="Arial"/>
          <w:color w:val="000000" w:themeColor="text1"/>
          <w:szCs w:val="24"/>
        </w:rPr>
        <w:t xml:space="preserve">d) </w:t>
      </w:r>
      <w:r w:rsidR="00970907" w:rsidRPr="00955840">
        <w:rPr>
          <w:rFonts w:cs="Arial"/>
          <w:color w:val="000000" w:themeColor="text1"/>
          <w:szCs w:val="24"/>
        </w:rPr>
        <w:t>Take</w:t>
      </w:r>
      <w:r w:rsidRPr="00955840">
        <w:rPr>
          <w:rFonts w:cs="Arial"/>
          <w:color w:val="000000" w:themeColor="text1"/>
          <w:szCs w:val="24"/>
        </w:rPr>
        <w:t xml:space="preserve"> into account best practice examples and learning from other boroughs that have put in place strategies for supported accommodation and support for older people with dementia and other complex needs.</w:t>
      </w:r>
    </w:p>
    <w:p w:rsidR="00955840" w:rsidRPr="00955840" w:rsidRDefault="00955840" w:rsidP="00955840">
      <w:pPr>
        <w:jc w:val="both"/>
        <w:rPr>
          <w:rFonts w:cs="Arial"/>
          <w:color w:val="000000" w:themeColor="text1"/>
          <w:szCs w:val="24"/>
        </w:rPr>
      </w:pPr>
      <w:r w:rsidRPr="00955840">
        <w:rPr>
          <w:rFonts w:cs="Arial"/>
          <w:color w:val="000000" w:themeColor="text1"/>
          <w:szCs w:val="24"/>
        </w:rPr>
        <w:t xml:space="preserve"> </w:t>
      </w:r>
    </w:p>
    <w:p w:rsidR="00955840" w:rsidRPr="00955840" w:rsidRDefault="00955840" w:rsidP="00955840">
      <w:pPr>
        <w:jc w:val="both"/>
        <w:rPr>
          <w:rFonts w:cs="Arial"/>
          <w:color w:val="000000" w:themeColor="text1"/>
          <w:szCs w:val="24"/>
        </w:rPr>
      </w:pPr>
    </w:p>
    <w:p w:rsidR="00955840" w:rsidRPr="00955840" w:rsidRDefault="00955840" w:rsidP="00955840">
      <w:pPr>
        <w:jc w:val="both"/>
        <w:rPr>
          <w:rFonts w:cs="Arial"/>
          <w:b/>
          <w:color w:val="000000" w:themeColor="text1"/>
          <w:szCs w:val="24"/>
        </w:rPr>
      </w:pPr>
      <w:r w:rsidRPr="00955840">
        <w:rPr>
          <w:rFonts w:cs="Arial"/>
          <w:b/>
          <w:color w:val="000000" w:themeColor="text1"/>
          <w:szCs w:val="24"/>
        </w:rPr>
        <w:t xml:space="preserve">Update: </w:t>
      </w:r>
    </w:p>
    <w:p w:rsidR="00955840" w:rsidRPr="00955840" w:rsidRDefault="00955840" w:rsidP="00955840">
      <w:pPr>
        <w:jc w:val="both"/>
        <w:rPr>
          <w:rFonts w:cs="Arial"/>
          <w:color w:val="000000" w:themeColor="text1"/>
          <w:szCs w:val="24"/>
        </w:rPr>
      </w:pPr>
    </w:p>
    <w:p w:rsidR="00955840" w:rsidRPr="00955840" w:rsidRDefault="00955840" w:rsidP="00955840">
      <w:pPr>
        <w:jc w:val="both"/>
        <w:rPr>
          <w:rFonts w:cs="Arial"/>
          <w:color w:val="000000" w:themeColor="text1"/>
          <w:szCs w:val="24"/>
        </w:rPr>
      </w:pPr>
      <w:r w:rsidRPr="00955840">
        <w:rPr>
          <w:rFonts w:cs="Arial"/>
          <w:color w:val="000000" w:themeColor="text1"/>
          <w:szCs w:val="24"/>
        </w:rPr>
        <w:t>Housing Services is reviewing all of its published Housing Strategies and the new Strategy will be reported to Cabinet in 2019/2020.</w:t>
      </w:r>
    </w:p>
    <w:p w:rsidR="00955840" w:rsidRPr="00955840" w:rsidRDefault="00955840" w:rsidP="00955840">
      <w:pPr>
        <w:jc w:val="both"/>
        <w:rPr>
          <w:rFonts w:cs="Arial"/>
          <w:color w:val="000000" w:themeColor="text1"/>
          <w:szCs w:val="24"/>
        </w:rPr>
      </w:pPr>
    </w:p>
    <w:p w:rsidR="00955840" w:rsidRPr="00955840" w:rsidRDefault="00955840" w:rsidP="00955840">
      <w:pPr>
        <w:jc w:val="both"/>
        <w:rPr>
          <w:rFonts w:cs="Arial"/>
          <w:color w:val="000000" w:themeColor="text1"/>
          <w:szCs w:val="24"/>
        </w:rPr>
      </w:pPr>
      <w:r w:rsidRPr="00955840">
        <w:rPr>
          <w:rFonts w:cs="Arial"/>
          <w:color w:val="000000" w:themeColor="text1"/>
          <w:szCs w:val="24"/>
        </w:rPr>
        <w:t xml:space="preserve">a) </w:t>
      </w:r>
    </w:p>
    <w:p w:rsidR="00955840" w:rsidRPr="00955840" w:rsidRDefault="00955840" w:rsidP="00955840">
      <w:pPr>
        <w:jc w:val="both"/>
        <w:rPr>
          <w:rFonts w:cs="Arial"/>
          <w:color w:val="000000" w:themeColor="text1"/>
          <w:szCs w:val="24"/>
        </w:rPr>
      </w:pPr>
      <w:r w:rsidRPr="00955840">
        <w:rPr>
          <w:rFonts w:cs="Arial"/>
          <w:color w:val="000000" w:themeColor="text1"/>
          <w:szCs w:val="24"/>
        </w:rPr>
        <w:t>The Housing Strategy includes a section on supported housing incorporating Housing for Older Peopl</w:t>
      </w:r>
      <w:r w:rsidR="00BB7807">
        <w:rPr>
          <w:rFonts w:cs="Arial"/>
          <w:color w:val="000000" w:themeColor="text1"/>
          <w:szCs w:val="24"/>
        </w:rPr>
        <w:t>e including those with dementia.</w:t>
      </w:r>
    </w:p>
    <w:p w:rsidR="00955840" w:rsidRPr="00955840" w:rsidRDefault="00955840" w:rsidP="00955840">
      <w:pPr>
        <w:jc w:val="both"/>
        <w:rPr>
          <w:rFonts w:cs="Arial"/>
          <w:color w:val="000000" w:themeColor="text1"/>
          <w:szCs w:val="24"/>
        </w:rPr>
      </w:pPr>
    </w:p>
    <w:p w:rsidR="00955840" w:rsidRPr="00955840" w:rsidRDefault="00955840" w:rsidP="00955840">
      <w:pPr>
        <w:jc w:val="both"/>
        <w:rPr>
          <w:rFonts w:cs="Arial"/>
          <w:color w:val="000000" w:themeColor="text1"/>
          <w:szCs w:val="24"/>
        </w:rPr>
      </w:pPr>
      <w:r w:rsidRPr="00955840">
        <w:rPr>
          <w:rFonts w:cs="Arial"/>
          <w:color w:val="000000" w:themeColor="text1"/>
          <w:szCs w:val="24"/>
        </w:rPr>
        <w:t xml:space="preserve">b) </w:t>
      </w:r>
    </w:p>
    <w:p w:rsidR="00955840" w:rsidRPr="00955840" w:rsidRDefault="00955840" w:rsidP="00955840">
      <w:pPr>
        <w:jc w:val="both"/>
        <w:rPr>
          <w:rFonts w:cs="Arial"/>
          <w:color w:val="000000" w:themeColor="text1"/>
          <w:szCs w:val="24"/>
        </w:rPr>
      </w:pPr>
      <w:r w:rsidRPr="00955840">
        <w:rPr>
          <w:rFonts w:cs="Arial"/>
          <w:color w:val="000000" w:themeColor="text1"/>
          <w:szCs w:val="24"/>
        </w:rPr>
        <w:t xml:space="preserve">The Housing Strategy must conform </w:t>
      </w:r>
      <w:proofErr w:type="gramStart"/>
      <w:r w:rsidRPr="00955840">
        <w:rPr>
          <w:rFonts w:cs="Arial"/>
          <w:color w:val="000000" w:themeColor="text1"/>
          <w:szCs w:val="24"/>
        </w:rPr>
        <w:t>with</w:t>
      </w:r>
      <w:proofErr w:type="gramEnd"/>
      <w:r w:rsidRPr="00955840">
        <w:rPr>
          <w:rFonts w:cs="Arial"/>
          <w:color w:val="000000" w:themeColor="text1"/>
          <w:szCs w:val="24"/>
        </w:rPr>
        <w:t xml:space="preserve"> the London Housing Strategy and will make reference to the draft London Plan. However, it should be noted the targets are still to be agreed and therefore Harrow’s Housing Strategy will focus on what we will be able to deliver taking into account sites and funding availability.</w:t>
      </w:r>
    </w:p>
    <w:p w:rsidR="00955840" w:rsidRPr="00955840" w:rsidRDefault="00955840" w:rsidP="00955840">
      <w:pPr>
        <w:jc w:val="both"/>
        <w:rPr>
          <w:rFonts w:cs="Arial"/>
          <w:color w:val="000000" w:themeColor="text1"/>
          <w:szCs w:val="24"/>
        </w:rPr>
      </w:pPr>
    </w:p>
    <w:p w:rsidR="00955840" w:rsidRPr="00955840" w:rsidRDefault="00955840" w:rsidP="00955840">
      <w:pPr>
        <w:jc w:val="both"/>
        <w:rPr>
          <w:rFonts w:cs="Arial"/>
          <w:color w:val="000000" w:themeColor="text1"/>
          <w:szCs w:val="24"/>
        </w:rPr>
      </w:pPr>
      <w:r w:rsidRPr="00955840">
        <w:rPr>
          <w:rFonts w:cs="Arial"/>
          <w:color w:val="000000" w:themeColor="text1"/>
          <w:szCs w:val="24"/>
        </w:rPr>
        <w:t xml:space="preserve">c) </w:t>
      </w:r>
    </w:p>
    <w:p w:rsidR="00955840" w:rsidRPr="00955840" w:rsidRDefault="00955840" w:rsidP="00955840">
      <w:pPr>
        <w:jc w:val="both"/>
        <w:rPr>
          <w:rFonts w:cs="Arial"/>
          <w:color w:val="000000" w:themeColor="text1"/>
          <w:szCs w:val="24"/>
        </w:rPr>
      </w:pPr>
      <w:r w:rsidRPr="00955840">
        <w:rPr>
          <w:rFonts w:cs="Arial"/>
          <w:color w:val="000000" w:themeColor="text1"/>
          <w:szCs w:val="24"/>
        </w:rPr>
        <w:t xml:space="preserve">The Housing Strategy is developed in consultation with key stakeholders and to meet the joint priorities of housing, health and adults social care priorities. There will be opportunities for officers and members to engage with this strategy and policy review process. </w:t>
      </w:r>
    </w:p>
    <w:p w:rsidR="00955840" w:rsidRPr="00955840" w:rsidRDefault="00955840" w:rsidP="00955840">
      <w:pPr>
        <w:jc w:val="both"/>
        <w:rPr>
          <w:rFonts w:cs="Arial"/>
          <w:color w:val="000000" w:themeColor="text1"/>
          <w:szCs w:val="24"/>
        </w:rPr>
      </w:pPr>
    </w:p>
    <w:p w:rsidR="00955840" w:rsidRPr="00955840" w:rsidRDefault="00955840" w:rsidP="00955840">
      <w:pPr>
        <w:jc w:val="both"/>
        <w:rPr>
          <w:rFonts w:cs="Arial"/>
          <w:color w:val="000000" w:themeColor="text1"/>
          <w:szCs w:val="24"/>
        </w:rPr>
      </w:pPr>
      <w:r w:rsidRPr="00955840">
        <w:rPr>
          <w:rFonts w:cs="Arial"/>
          <w:color w:val="000000" w:themeColor="text1"/>
          <w:szCs w:val="24"/>
        </w:rPr>
        <w:t xml:space="preserve">d) </w:t>
      </w:r>
    </w:p>
    <w:p w:rsidR="00955840" w:rsidRPr="00955840" w:rsidRDefault="00955840" w:rsidP="00955840">
      <w:pPr>
        <w:jc w:val="both"/>
        <w:rPr>
          <w:rFonts w:cs="Arial"/>
          <w:color w:val="000000" w:themeColor="text1"/>
          <w:szCs w:val="24"/>
        </w:rPr>
      </w:pPr>
      <w:r w:rsidRPr="00955840">
        <w:rPr>
          <w:rFonts w:cs="Arial"/>
          <w:color w:val="000000" w:themeColor="text1"/>
          <w:szCs w:val="24"/>
        </w:rPr>
        <w:t>Harrow Council’s Housing and Adult Social Care departments have undertaken research and site visits to identify and continue to learn from good practice in the provision of Extra Care housing, including Brent, Haringey, Hillingdon and Westminster.</w:t>
      </w:r>
    </w:p>
    <w:p w:rsidR="00955840" w:rsidRPr="00955840" w:rsidRDefault="00955840" w:rsidP="00955840">
      <w:pPr>
        <w:jc w:val="both"/>
        <w:rPr>
          <w:rFonts w:cs="Arial"/>
          <w:color w:val="000000" w:themeColor="text1"/>
          <w:szCs w:val="24"/>
        </w:rPr>
      </w:pPr>
    </w:p>
    <w:p w:rsidR="00955840" w:rsidRPr="00955840" w:rsidRDefault="00955840" w:rsidP="00955840">
      <w:pPr>
        <w:jc w:val="both"/>
        <w:rPr>
          <w:rFonts w:cs="Arial"/>
          <w:b/>
          <w:color w:val="000000" w:themeColor="text1"/>
          <w:szCs w:val="24"/>
        </w:rPr>
      </w:pPr>
    </w:p>
    <w:p w:rsidR="00955840" w:rsidRPr="00955840" w:rsidRDefault="00955840" w:rsidP="00955840">
      <w:pPr>
        <w:jc w:val="both"/>
        <w:rPr>
          <w:rFonts w:cs="Arial"/>
          <w:b/>
          <w:color w:val="000000" w:themeColor="text1"/>
          <w:szCs w:val="24"/>
        </w:rPr>
      </w:pPr>
      <w:r w:rsidRPr="00955840">
        <w:rPr>
          <w:rFonts w:cs="Arial"/>
          <w:b/>
          <w:color w:val="000000" w:themeColor="text1"/>
          <w:szCs w:val="24"/>
        </w:rPr>
        <w:t xml:space="preserve">Recommendation 4 </w:t>
      </w:r>
    </w:p>
    <w:p w:rsidR="00955840" w:rsidRPr="00955840" w:rsidRDefault="00955840" w:rsidP="00955840">
      <w:pPr>
        <w:jc w:val="both"/>
        <w:rPr>
          <w:rFonts w:cs="Arial"/>
          <w:color w:val="000000" w:themeColor="text1"/>
          <w:szCs w:val="24"/>
        </w:rPr>
      </w:pPr>
      <w:r w:rsidRPr="00955840">
        <w:rPr>
          <w:rFonts w:cs="Arial"/>
          <w:color w:val="000000" w:themeColor="text1"/>
          <w:szCs w:val="24"/>
        </w:rPr>
        <w:t>The borough’s joint dementia strategy is refreshed to include:</w:t>
      </w:r>
    </w:p>
    <w:p w:rsidR="00955840" w:rsidRPr="00955840" w:rsidRDefault="00955840" w:rsidP="00955840">
      <w:pPr>
        <w:jc w:val="both"/>
        <w:rPr>
          <w:rFonts w:cs="Arial"/>
          <w:color w:val="000000" w:themeColor="text1"/>
          <w:szCs w:val="24"/>
        </w:rPr>
      </w:pPr>
    </w:p>
    <w:p w:rsidR="00955840" w:rsidRPr="00955840" w:rsidRDefault="00955840" w:rsidP="00955840">
      <w:pPr>
        <w:numPr>
          <w:ilvl w:val="0"/>
          <w:numId w:val="40"/>
        </w:numPr>
        <w:spacing w:after="100" w:afterAutospacing="1"/>
        <w:jc w:val="both"/>
        <w:rPr>
          <w:rFonts w:cs="Arial"/>
          <w:color w:val="000000" w:themeColor="text1"/>
          <w:szCs w:val="24"/>
        </w:rPr>
      </w:pPr>
      <w:r w:rsidRPr="00955840">
        <w:rPr>
          <w:rFonts w:cs="Arial"/>
          <w:color w:val="000000" w:themeColor="text1"/>
          <w:szCs w:val="24"/>
        </w:rPr>
        <w:t>Progress of outcomes from the previous strategy;</w:t>
      </w:r>
    </w:p>
    <w:p w:rsidR="00955840" w:rsidRPr="00955840" w:rsidRDefault="00955840" w:rsidP="00955840">
      <w:pPr>
        <w:numPr>
          <w:ilvl w:val="0"/>
          <w:numId w:val="40"/>
        </w:numPr>
        <w:spacing w:after="100" w:afterAutospacing="1"/>
        <w:jc w:val="both"/>
        <w:rPr>
          <w:rFonts w:cs="Arial"/>
          <w:color w:val="000000" w:themeColor="text1"/>
          <w:szCs w:val="24"/>
        </w:rPr>
      </w:pPr>
      <w:r w:rsidRPr="00955840">
        <w:rPr>
          <w:rFonts w:cs="Arial"/>
          <w:color w:val="000000" w:themeColor="text1"/>
          <w:szCs w:val="24"/>
        </w:rPr>
        <w:t>Integrated policies and action plans  that meet the  health, housing and social care needs of people with dementia in the borough;</w:t>
      </w:r>
    </w:p>
    <w:p w:rsidR="00955840" w:rsidRPr="00955840" w:rsidRDefault="00955840" w:rsidP="00955840">
      <w:pPr>
        <w:numPr>
          <w:ilvl w:val="0"/>
          <w:numId w:val="40"/>
        </w:numPr>
        <w:spacing w:after="100" w:afterAutospacing="1"/>
        <w:jc w:val="both"/>
        <w:rPr>
          <w:rFonts w:cs="Arial"/>
          <w:color w:val="000000" w:themeColor="text1"/>
          <w:szCs w:val="24"/>
        </w:rPr>
      </w:pPr>
      <w:r w:rsidRPr="00955840">
        <w:rPr>
          <w:rFonts w:cs="Arial"/>
          <w:color w:val="000000" w:themeColor="text1"/>
          <w:szCs w:val="24"/>
        </w:rPr>
        <w:lastRenderedPageBreak/>
        <w:t>A dementia care pathway  to ensure  improved post diagnosis  care and  support; better awareness and access to information and advice services via the council, the CCG and through local voluntary and community sector (VCS);</w:t>
      </w:r>
    </w:p>
    <w:p w:rsidR="00955840" w:rsidRPr="00955840" w:rsidRDefault="00955840" w:rsidP="00955840">
      <w:pPr>
        <w:numPr>
          <w:ilvl w:val="0"/>
          <w:numId w:val="40"/>
        </w:numPr>
        <w:spacing w:after="100" w:afterAutospacing="1"/>
        <w:jc w:val="both"/>
        <w:rPr>
          <w:rFonts w:cs="Arial"/>
          <w:color w:val="000000" w:themeColor="text1"/>
          <w:szCs w:val="24"/>
        </w:rPr>
      </w:pPr>
      <w:r w:rsidRPr="00955840">
        <w:rPr>
          <w:rFonts w:cs="Arial"/>
          <w:color w:val="000000" w:themeColor="text1"/>
          <w:szCs w:val="24"/>
        </w:rPr>
        <w:t>Details of plans for the development of a dementia information and advice hub for Harrow.</w:t>
      </w:r>
    </w:p>
    <w:p w:rsidR="00955840" w:rsidRPr="00955840" w:rsidRDefault="00955840" w:rsidP="00955840">
      <w:pPr>
        <w:spacing w:after="100" w:afterAutospacing="1"/>
        <w:jc w:val="both"/>
        <w:rPr>
          <w:rFonts w:cs="Arial"/>
          <w:b/>
          <w:color w:val="000000" w:themeColor="text1"/>
          <w:szCs w:val="24"/>
        </w:rPr>
      </w:pPr>
      <w:r w:rsidRPr="00955840">
        <w:rPr>
          <w:rFonts w:cs="Arial"/>
          <w:b/>
          <w:color w:val="000000" w:themeColor="text1"/>
          <w:szCs w:val="24"/>
        </w:rPr>
        <w:t xml:space="preserve">Update: </w:t>
      </w:r>
    </w:p>
    <w:p w:rsidR="00955840" w:rsidRPr="00955840" w:rsidRDefault="00955840" w:rsidP="00955840">
      <w:pPr>
        <w:pStyle w:val="Infotext"/>
        <w:rPr>
          <w:rFonts w:cs="Arial"/>
          <w:b/>
          <w:color w:val="000000" w:themeColor="text1"/>
          <w:szCs w:val="24"/>
        </w:rPr>
      </w:pPr>
      <w:r w:rsidRPr="00955840">
        <w:rPr>
          <w:rFonts w:cs="Arial"/>
          <w:b/>
          <w:color w:val="000000" w:themeColor="text1"/>
          <w:szCs w:val="24"/>
        </w:rPr>
        <w:t xml:space="preserve">a) </w:t>
      </w:r>
    </w:p>
    <w:p w:rsidR="00955840" w:rsidRPr="00955840" w:rsidRDefault="00955840" w:rsidP="00955840">
      <w:pPr>
        <w:jc w:val="both"/>
        <w:rPr>
          <w:color w:val="000000" w:themeColor="text1"/>
        </w:rPr>
      </w:pPr>
    </w:p>
    <w:p w:rsidR="00955840" w:rsidRPr="00955840" w:rsidRDefault="00955840" w:rsidP="00955840">
      <w:pPr>
        <w:jc w:val="both"/>
        <w:rPr>
          <w:color w:val="000000" w:themeColor="text1"/>
        </w:rPr>
      </w:pPr>
      <w:r w:rsidRPr="00955840">
        <w:rPr>
          <w:color w:val="000000" w:themeColor="text1"/>
        </w:rPr>
        <w:t xml:space="preserve">Harrow CCG and Harrow Council Joint Dementia Strategy 2018 – 2021 final draft was presented to the Health and </w:t>
      </w:r>
      <w:r w:rsidR="00EF71BD">
        <w:rPr>
          <w:color w:val="000000" w:themeColor="text1"/>
        </w:rPr>
        <w:t xml:space="preserve">Social Care Scrutiny Sub-Committee </w:t>
      </w:r>
      <w:r w:rsidRPr="00955840">
        <w:rPr>
          <w:color w:val="000000" w:themeColor="text1"/>
        </w:rPr>
        <w:t xml:space="preserve">in October 2018 and </w:t>
      </w:r>
      <w:r w:rsidR="000B28CA">
        <w:rPr>
          <w:color w:val="000000" w:themeColor="text1"/>
        </w:rPr>
        <w:t xml:space="preserve">is </w:t>
      </w:r>
      <w:r w:rsidRPr="00955840">
        <w:rPr>
          <w:color w:val="000000" w:themeColor="text1"/>
        </w:rPr>
        <w:t xml:space="preserve">available to </w:t>
      </w:r>
      <w:hyperlink r:id="rId9" w:history="1">
        <w:r w:rsidRPr="00955840">
          <w:rPr>
            <w:rStyle w:val="Hyperlink"/>
            <w:color w:val="000000" w:themeColor="text1"/>
          </w:rPr>
          <w:t>download</w:t>
        </w:r>
      </w:hyperlink>
      <w:r w:rsidRPr="00955840">
        <w:rPr>
          <w:color w:val="000000" w:themeColor="text1"/>
        </w:rPr>
        <w:t xml:space="preserve"> at the Harrow Council website.</w:t>
      </w:r>
    </w:p>
    <w:p w:rsidR="00955840" w:rsidRPr="00955840" w:rsidRDefault="00955840" w:rsidP="00955840">
      <w:pPr>
        <w:jc w:val="both"/>
        <w:rPr>
          <w:color w:val="000000" w:themeColor="text1"/>
        </w:rPr>
      </w:pPr>
    </w:p>
    <w:p w:rsidR="00955840" w:rsidRPr="00955840" w:rsidRDefault="00925AAE" w:rsidP="00955840">
      <w:pPr>
        <w:jc w:val="both"/>
        <w:rPr>
          <w:color w:val="000000" w:themeColor="text1"/>
        </w:rPr>
      </w:pPr>
      <w:hyperlink r:id="rId10" w:history="1">
        <w:r w:rsidR="00955840" w:rsidRPr="00955840">
          <w:rPr>
            <w:rStyle w:val="Hyperlink"/>
            <w:color w:val="000000" w:themeColor="text1"/>
          </w:rPr>
          <w:t>https://www.harrow.gov.uk/downloads/file/26515/harrow-ccg-and-harrow-council-joint-dementia-strategy-2018-2021</w:t>
        </w:r>
      </w:hyperlink>
    </w:p>
    <w:p w:rsidR="00955840" w:rsidRPr="00955840" w:rsidRDefault="00955840" w:rsidP="00955840">
      <w:pPr>
        <w:jc w:val="both"/>
        <w:rPr>
          <w:color w:val="000000" w:themeColor="text1"/>
        </w:rPr>
      </w:pPr>
    </w:p>
    <w:p w:rsidR="00955840" w:rsidRPr="00955840" w:rsidRDefault="00955840" w:rsidP="00955840">
      <w:pPr>
        <w:jc w:val="both"/>
        <w:rPr>
          <w:color w:val="000000" w:themeColor="text1"/>
        </w:rPr>
      </w:pPr>
    </w:p>
    <w:p w:rsidR="00955840" w:rsidRPr="00955840" w:rsidRDefault="00955840" w:rsidP="00955840">
      <w:pPr>
        <w:jc w:val="both"/>
        <w:rPr>
          <w:color w:val="000000" w:themeColor="text1"/>
        </w:rPr>
      </w:pPr>
      <w:r w:rsidRPr="00955840">
        <w:rPr>
          <w:color w:val="000000" w:themeColor="text1"/>
        </w:rPr>
        <w:t>The refreshed dementia strategy outlines significant progress since the 2010 to 2015 strategy and they are as follows:</w:t>
      </w:r>
    </w:p>
    <w:p w:rsidR="00955840" w:rsidRPr="00955840" w:rsidRDefault="00955840" w:rsidP="00955840">
      <w:pPr>
        <w:jc w:val="both"/>
        <w:rPr>
          <w:color w:val="000000" w:themeColor="text1"/>
        </w:rPr>
      </w:pPr>
    </w:p>
    <w:p w:rsidR="00955840" w:rsidRPr="00955840" w:rsidRDefault="00955840" w:rsidP="00955840">
      <w:pPr>
        <w:pStyle w:val="BodyText"/>
        <w:widowControl w:val="0"/>
        <w:numPr>
          <w:ilvl w:val="0"/>
          <w:numId w:val="43"/>
        </w:numPr>
        <w:autoSpaceDE w:val="0"/>
        <w:autoSpaceDN w:val="0"/>
        <w:spacing w:line="276" w:lineRule="auto"/>
        <w:jc w:val="both"/>
        <w:rPr>
          <w:i w:val="0"/>
          <w:color w:val="000000" w:themeColor="text1"/>
        </w:rPr>
      </w:pPr>
      <w:r w:rsidRPr="00955840">
        <w:rPr>
          <w:i w:val="0"/>
          <w:color w:val="000000" w:themeColor="text1"/>
        </w:rPr>
        <w:t>Partnership working between the Memory Assessment Service (MAS), GPs, Acute Hospitals, and through referral agencies</w:t>
      </w:r>
    </w:p>
    <w:p w:rsidR="00955840" w:rsidRPr="00955840" w:rsidRDefault="00955840" w:rsidP="00955840">
      <w:pPr>
        <w:pStyle w:val="BodyText"/>
        <w:widowControl w:val="0"/>
        <w:numPr>
          <w:ilvl w:val="0"/>
          <w:numId w:val="43"/>
        </w:numPr>
        <w:autoSpaceDE w:val="0"/>
        <w:autoSpaceDN w:val="0"/>
        <w:spacing w:line="276" w:lineRule="auto"/>
        <w:jc w:val="both"/>
        <w:rPr>
          <w:i w:val="0"/>
          <w:color w:val="000000" w:themeColor="text1"/>
        </w:rPr>
      </w:pPr>
      <w:r w:rsidRPr="00955840">
        <w:rPr>
          <w:i w:val="0"/>
          <w:color w:val="000000" w:themeColor="text1"/>
        </w:rPr>
        <w:t>Sign Posting to Voluntary and Community Sector Organisations resource funded and non-resource funded support services in Harrow</w:t>
      </w:r>
    </w:p>
    <w:p w:rsidR="00955840" w:rsidRPr="00955840" w:rsidRDefault="00955840" w:rsidP="00955840">
      <w:pPr>
        <w:pStyle w:val="BodyText"/>
        <w:widowControl w:val="0"/>
        <w:numPr>
          <w:ilvl w:val="0"/>
          <w:numId w:val="43"/>
        </w:numPr>
        <w:autoSpaceDE w:val="0"/>
        <w:autoSpaceDN w:val="0"/>
        <w:spacing w:line="276" w:lineRule="auto"/>
        <w:jc w:val="both"/>
        <w:rPr>
          <w:i w:val="0"/>
          <w:color w:val="000000" w:themeColor="text1"/>
        </w:rPr>
      </w:pPr>
      <w:r w:rsidRPr="00955840">
        <w:rPr>
          <w:i w:val="0"/>
          <w:color w:val="000000" w:themeColor="text1"/>
        </w:rPr>
        <w:t>Weekly Local Authority engagement with older people services, CCG and Acute Mental Health services to prevent ‘delayed transfers of care’ (DToC)</w:t>
      </w:r>
    </w:p>
    <w:p w:rsidR="00955840" w:rsidRPr="00955840" w:rsidRDefault="00955840" w:rsidP="00955840">
      <w:pPr>
        <w:pStyle w:val="BodyText"/>
        <w:widowControl w:val="0"/>
        <w:numPr>
          <w:ilvl w:val="0"/>
          <w:numId w:val="43"/>
        </w:numPr>
        <w:autoSpaceDE w:val="0"/>
        <w:autoSpaceDN w:val="0"/>
        <w:spacing w:line="276" w:lineRule="auto"/>
        <w:jc w:val="both"/>
        <w:rPr>
          <w:i w:val="0"/>
          <w:color w:val="000000" w:themeColor="text1"/>
        </w:rPr>
      </w:pPr>
      <w:r w:rsidRPr="00955840">
        <w:rPr>
          <w:i w:val="0"/>
          <w:color w:val="000000" w:themeColor="text1"/>
        </w:rPr>
        <w:t>Co-located social worker based in the team</w:t>
      </w:r>
    </w:p>
    <w:p w:rsidR="00955840" w:rsidRPr="00955840" w:rsidRDefault="00955840" w:rsidP="00955840">
      <w:pPr>
        <w:pStyle w:val="BodyText"/>
        <w:widowControl w:val="0"/>
        <w:numPr>
          <w:ilvl w:val="0"/>
          <w:numId w:val="43"/>
        </w:numPr>
        <w:autoSpaceDE w:val="0"/>
        <w:autoSpaceDN w:val="0"/>
        <w:spacing w:line="276" w:lineRule="auto"/>
        <w:jc w:val="both"/>
        <w:rPr>
          <w:i w:val="0"/>
          <w:color w:val="000000" w:themeColor="text1"/>
        </w:rPr>
      </w:pPr>
      <w:r w:rsidRPr="00955840">
        <w:rPr>
          <w:i w:val="0"/>
          <w:color w:val="000000" w:themeColor="text1"/>
        </w:rPr>
        <w:t>A pre-screening tool has been designed for Nursing Home staff to review their patients where dementia is indicated but not diagnosed. This will allow a more focused approach for the MAS and GPs. The screening  tool has been shared with the Local Authority to deploy in partnership working with Nursing Homes</w:t>
      </w:r>
    </w:p>
    <w:p w:rsidR="00955840" w:rsidRPr="00955840" w:rsidRDefault="00955840" w:rsidP="00955840">
      <w:pPr>
        <w:pStyle w:val="BodyText"/>
        <w:widowControl w:val="0"/>
        <w:numPr>
          <w:ilvl w:val="0"/>
          <w:numId w:val="43"/>
        </w:numPr>
        <w:autoSpaceDE w:val="0"/>
        <w:autoSpaceDN w:val="0"/>
        <w:spacing w:line="276" w:lineRule="auto"/>
        <w:jc w:val="both"/>
        <w:rPr>
          <w:i w:val="0"/>
          <w:color w:val="000000" w:themeColor="text1"/>
        </w:rPr>
      </w:pPr>
      <w:r w:rsidRPr="00955840">
        <w:rPr>
          <w:i w:val="0"/>
          <w:color w:val="000000" w:themeColor="text1"/>
        </w:rPr>
        <w:t>MAS service already participating in reviews of patients in nursing homes</w:t>
      </w:r>
    </w:p>
    <w:p w:rsidR="00955840" w:rsidRPr="00955840" w:rsidRDefault="00955840" w:rsidP="00955840">
      <w:pPr>
        <w:pStyle w:val="BodyText"/>
        <w:widowControl w:val="0"/>
        <w:numPr>
          <w:ilvl w:val="0"/>
          <w:numId w:val="43"/>
        </w:numPr>
        <w:autoSpaceDE w:val="0"/>
        <w:autoSpaceDN w:val="0"/>
        <w:spacing w:line="276" w:lineRule="auto"/>
        <w:jc w:val="both"/>
        <w:rPr>
          <w:i w:val="0"/>
          <w:color w:val="000000" w:themeColor="text1"/>
        </w:rPr>
      </w:pPr>
      <w:r w:rsidRPr="00955840">
        <w:rPr>
          <w:i w:val="0"/>
          <w:color w:val="000000" w:themeColor="text1"/>
        </w:rPr>
        <w:t>CNWL and the MAS are training all their staff; ‘Make every contact count’</w:t>
      </w:r>
    </w:p>
    <w:p w:rsidR="00955840" w:rsidRPr="00955840" w:rsidRDefault="00955840" w:rsidP="00955840">
      <w:pPr>
        <w:pStyle w:val="BodyText"/>
        <w:widowControl w:val="0"/>
        <w:numPr>
          <w:ilvl w:val="0"/>
          <w:numId w:val="43"/>
        </w:numPr>
        <w:autoSpaceDE w:val="0"/>
        <w:autoSpaceDN w:val="0"/>
        <w:spacing w:line="276" w:lineRule="auto"/>
        <w:jc w:val="both"/>
        <w:rPr>
          <w:i w:val="0"/>
          <w:color w:val="000000" w:themeColor="text1"/>
        </w:rPr>
      </w:pPr>
      <w:r w:rsidRPr="00955840">
        <w:rPr>
          <w:i w:val="0"/>
          <w:color w:val="000000" w:themeColor="text1"/>
        </w:rPr>
        <w:t>Harrow Patient Participation Network and CCG Engagement Team are working together to develop a strategy for public engagement to raise awareness and to de-stigmatise dementia.</w:t>
      </w:r>
    </w:p>
    <w:p w:rsidR="00955840" w:rsidRPr="00955840" w:rsidRDefault="00955840" w:rsidP="00955840">
      <w:pPr>
        <w:pStyle w:val="BodyText"/>
        <w:widowControl w:val="0"/>
        <w:numPr>
          <w:ilvl w:val="0"/>
          <w:numId w:val="43"/>
        </w:numPr>
        <w:autoSpaceDE w:val="0"/>
        <w:autoSpaceDN w:val="0"/>
        <w:spacing w:line="276" w:lineRule="auto"/>
        <w:jc w:val="both"/>
        <w:rPr>
          <w:i w:val="0"/>
          <w:color w:val="000000" w:themeColor="text1"/>
        </w:rPr>
      </w:pPr>
      <w:r w:rsidRPr="00955840">
        <w:rPr>
          <w:i w:val="0"/>
          <w:color w:val="000000" w:themeColor="text1"/>
        </w:rPr>
        <w:t>Post diagnostic information packs given to all service users and carers which include information on Housing benefits, community transport and various voluntary and community sector organisations.</w:t>
      </w:r>
    </w:p>
    <w:p w:rsidR="00955840" w:rsidRPr="00955840" w:rsidRDefault="00955840" w:rsidP="00955840">
      <w:pPr>
        <w:jc w:val="both"/>
        <w:rPr>
          <w:color w:val="000000" w:themeColor="text1"/>
        </w:rPr>
      </w:pPr>
    </w:p>
    <w:p w:rsidR="00955840" w:rsidRDefault="00955840" w:rsidP="00955840">
      <w:pPr>
        <w:jc w:val="both"/>
        <w:rPr>
          <w:color w:val="000000" w:themeColor="text1"/>
        </w:rPr>
      </w:pPr>
    </w:p>
    <w:p w:rsidR="00925AAE" w:rsidRDefault="00925AAE" w:rsidP="00955840">
      <w:pPr>
        <w:jc w:val="both"/>
        <w:rPr>
          <w:color w:val="000000" w:themeColor="text1"/>
        </w:rPr>
      </w:pPr>
    </w:p>
    <w:p w:rsidR="00925AAE" w:rsidRPr="00955840" w:rsidRDefault="00925AAE" w:rsidP="00955840">
      <w:pPr>
        <w:jc w:val="both"/>
        <w:rPr>
          <w:color w:val="000000" w:themeColor="text1"/>
        </w:rPr>
      </w:pPr>
    </w:p>
    <w:p w:rsidR="00955840" w:rsidRPr="00C82F8A" w:rsidRDefault="00955840" w:rsidP="00955840">
      <w:pPr>
        <w:jc w:val="both"/>
        <w:rPr>
          <w:b/>
          <w:color w:val="000000" w:themeColor="text1"/>
        </w:rPr>
      </w:pPr>
      <w:r w:rsidRPr="00955840">
        <w:rPr>
          <w:b/>
          <w:color w:val="000000" w:themeColor="text1"/>
        </w:rPr>
        <w:lastRenderedPageBreak/>
        <w:t>b)</w:t>
      </w:r>
    </w:p>
    <w:p w:rsidR="00955840" w:rsidRPr="00955840" w:rsidRDefault="00955840" w:rsidP="00955840">
      <w:pPr>
        <w:jc w:val="both"/>
        <w:rPr>
          <w:color w:val="000000" w:themeColor="text1"/>
        </w:rPr>
      </w:pPr>
      <w:r w:rsidRPr="00955840">
        <w:rPr>
          <w:color w:val="000000" w:themeColor="text1"/>
        </w:rPr>
        <w:t xml:space="preserve">The Strategy provides a framework for creating and empowering the dementia environment for people living with dementia and their families. </w:t>
      </w:r>
    </w:p>
    <w:p w:rsidR="00955840" w:rsidRPr="00955840" w:rsidRDefault="00955840" w:rsidP="00955840">
      <w:pPr>
        <w:jc w:val="both"/>
        <w:rPr>
          <w:color w:val="000000" w:themeColor="text1"/>
        </w:rPr>
      </w:pPr>
    </w:p>
    <w:p w:rsidR="00955840" w:rsidRDefault="00955840" w:rsidP="00955840">
      <w:pPr>
        <w:jc w:val="both"/>
        <w:rPr>
          <w:color w:val="000000" w:themeColor="text1"/>
        </w:rPr>
      </w:pPr>
      <w:r w:rsidRPr="00955840">
        <w:rPr>
          <w:color w:val="000000" w:themeColor="text1"/>
        </w:rPr>
        <w:t xml:space="preserve">The strategy is live and subject to scrutiny where potential gaps in the pathway may be identified when users, carers, friends and family provide personal stories and experiences. Learning from such comments helps continuous improvement to address diagnostic and post diagnostic health and social care support for dementia. </w:t>
      </w:r>
    </w:p>
    <w:p w:rsidR="00C82F8A" w:rsidRDefault="00C82F8A" w:rsidP="00955840">
      <w:pPr>
        <w:jc w:val="both"/>
        <w:rPr>
          <w:color w:val="000000" w:themeColor="text1"/>
        </w:rPr>
      </w:pPr>
    </w:p>
    <w:p w:rsidR="00C82F8A" w:rsidRPr="00955840" w:rsidRDefault="00C82F8A" w:rsidP="00C82F8A">
      <w:pPr>
        <w:jc w:val="both"/>
        <w:rPr>
          <w:color w:val="000000" w:themeColor="text1"/>
        </w:rPr>
      </w:pPr>
      <w:r>
        <w:rPr>
          <w:color w:val="000000" w:themeColor="text1"/>
        </w:rPr>
        <w:t xml:space="preserve">During the past 12 months since publication of the Dementia Strategy final draft the </w:t>
      </w:r>
      <w:r w:rsidRPr="00C82F8A">
        <w:rPr>
          <w:color w:val="000000" w:themeColor="text1"/>
        </w:rPr>
        <w:t xml:space="preserve">Harrow Integrated </w:t>
      </w:r>
      <w:r>
        <w:rPr>
          <w:color w:val="000000" w:themeColor="text1"/>
        </w:rPr>
        <w:t>Care Programme - Dementia Group has been working collaborative</w:t>
      </w:r>
      <w:r w:rsidR="00B725B1">
        <w:rPr>
          <w:color w:val="000000" w:themeColor="text1"/>
        </w:rPr>
        <w:t>ly</w:t>
      </w:r>
      <w:r>
        <w:rPr>
          <w:color w:val="000000" w:themeColor="text1"/>
        </w:rPr>
        <w:t xml:space="preserve"> on delivering several themes forming the  dementia </w:t>
      </w:r>
      <w:r w:rsidRPr="00C82F8A">
        <w:rPr>
          <w:color w:val="000000" w:themeColor="text1"/>
        </w:rPr>
        <w:t>Improvement Plan</w:t>
      </w:r>
      <w:r w:rsidR="008E28E4">
        <w:rPr>
          <w:color w:val="000000" w:themeColor="text1"/>
        </w:rPr>
        <w:t xml:space="preserve"> including: Admiral Nurses; Dementia Hub; A clear pathway for people living with dementia; Single point of access; Information; and Training.</w:t>
      </w:r>
    </w:p>
    <w:p w:rsidR="00955840" w:rsidRPr="00955840" w:rsidRDefault="00955840" w:rsidP="00955840">
      <w:pPr>
        <w:jc w:val="both"/>
        <w:rPr>
          <w:color w:val="000000" w:themeColor="text1"/>
        </w:rPr>
      </w:pPr>
    </w:p>
    <w:p w:rsidR="00955840" w:rsidRPr="00955840" w:rsidRDefault="00955840" w:rsidP="00955840">
      <w:pPr>
        <w:jc w:val="both"/>
        <w:rPr>
          <w:rFonts w:cs="Arial"/>
          <w:b/>
          <w:color w:val="000000" w:themeColor="text1"/>
          <w:szCs w:val="24"/>
        </w:rPr>
      </w:pPr>
      <w:r w:rsidRPr="00955840">
        <w:rPr>
          <w:rFonts w:cs="Arial"/>
          <w:b/>
          <w:color w:val="000000" w:themeColor="text1"/>
          <w:szCs w:val="24"/>
        </w:rPr>
        <w:t>c)</w:t>
      </w:r>
    </w:p>
    <w:p w:rsidR="00955840" w:rsidRPr="00955840" w:rsidRDefault="00955840" w:rsidP="00955840">
      <w:pPr>
        <w:rPr>
          <w:color w:val="000000" w:themeColor="text1"/>
          <w:kern w:val="24"/>
        </w:rPr>
      </w:pPr>
      <w:r w:rsidRPr="00955840">
        <w:rPr>
          <w:color w:val="000000" w:themeColor="text1"/>
        </w:rPr>
        <w:t xml:space="preserve">October 2019: A new post-diagnosis pathway has been designed and work has begun on testing the model before full implementation. There are three main areas to be trialled: 1) identification of patients for referral to the Memory Assessment Service (MAS) from the community 2) Single Point of Contact for dementia patients and their carers after diagnosis 3) </w:t>
      </w:r>
      <w:r w:rsidRPr="00955840">
        <w:rPr>
          <w:color w:val="000000" w:themeColor="text1"/>
          <w:kern w:val="24"/>
        </w:rPr>
        <w:t>direct referrals from the hospital to the MAS with a letter to the GP.</w:t>
      </w:r>
    </w:p>
    <w:p w:rsidR="00955840" w:rsidRPr="00955840" w:rsidRDefault="00955840" w:rsidP="00955840">
      <w:pPr>
        <w:jc w:val="both"/>
        <w:rPr>
          <w:rFonts w:cs="Arial"/>
          <w:b/>
          <w:color w:val="000000" w:themeColor="text1"/>
          <w:szCs w:val="24"/>
        </w:rPr>
      </w:pPr>
    </w:p>
    <w:p w:rsidR="00955840" w:rsidRPr="00955840" w:rsidRDefault="00955840" w:rsidP="00955840">
      <w:pPr>
        <w:jc w:val="both"/>
        <w:rPr>
          <w:rFonts w:cs="Arial"/>
          <w:b/>
          <w:color w:val="000000" w:themeColor="text1"/>
          <w:szCs w:val="24"/>
        </w:rPr>
      </w:pPr>
      <w:r w:rsidRPr="00955840">
        <w:rPr>
          <w:rFonts w:cs="Arial"/>
          <w:b/>
          <w:color w:val="000000" w:themeColor="text1"/>
          <w:szCs w:val="24"/>
        </w:rPr>
        <w:t>d)</w:t>
      </w:r>
    </w:p>
    <w:p w:rsidR="00955840" w:rsidRPr="00955840" w:rsidRDefault="00955840" w:rsidP="00955840">
      <w:pPr>
        <w:jc w:val="both"/>
        <w:rPr>
          <w:rFonts w:cs="Arial"/>
          <w:color w:val="000000" w:themeColor="text1"/>
          <w:szCs w:val="24"/>
        </w:rPr>
      </w:pPr>
      <w:r w:rsidRPr="00955840">
        <w:rPr>
          <w:rFonts w:cs="Arial"/>
          <w:color w:val="000000" w:themeColor="text1"/>
          <w:szCs w:val="24"/>
        </w:rPr>
        <w:t>Harrow Council's second Dementia Hub at the Bridge Centre, Christchurch Avenue, launched on 16th April 2019. It has seen its average weekly attendance grow</w:t>
      </w:r>
      <w:r>
        <w:rPr>
          <w:rFonts w:cs="Arial"/>
          <w:color w:val="000000" w:themeColor="text1"/>
          <w:szCs w:val="24"/>
        </w:rPr>
        <w:t xml:space="preserve"> week on week</w:t>
      </w:r>
      <w:r w:rsidRPr="00955840">
        <w:rPr>
          <w:rFonts w:cs="Arial"/>
          <w:color w:val="000000" w:themeColor="text1"/>
          <w:szCs w:val="24"/>
        </w:rPr>
        <w:t xml:space="preserve">. This compliments Harrow Council's first Dementia Hub, known as 'Annie's Place'. </w:t>
      </w:r>
    </w:p>
    <w:p w:rsidR="00955840" w:rsidRPr="00955840" w:rsidRDefault="00955840" w:rsidP="00955840">
      <w:pPr>
        <w:jc w:val="both"/>
        <w:rPr>
          <w:rFonts w:cs="Arial"/>
          <w:color w:val="000000" w:themeColor="text1"/>
          <w:szCs w:val="24"/>
        </w:rPr>
      </w:pPr>
    </w:p>
    <w:p w:rsidR="00955840" w:rsidRPr="00955840" w:rsidRDefault="00955840" w:rsidP="00955840">
      <w:pPr>
        <w:jc w:val="both"/>
        <w:rPr>
          <w:rFonts w:cs="Arial"/>
          <w:color w:val="000000" w:themeColor="text1"/>
          <w:szCs w:val="24"/>
        </w:rPr>
      </w:pPr>
      <w:r w:rsidRPr="00955840">
        <w:rPr>
          <w:rFonts w:cs="Arial"/>
          <w:color w:val="000000" w:themeColor="text1"/>
          <w:szCs w:val="24"/>
        </w:rPr>
        <w:t xml:space="preserve">Combined, the hubs are being accessed by up to 80 people per week. Currently the running costs are being met by Public Health's wider social determinants budget and are estimated to be £24k for the first year. At time of writing a 6 monthly review report is being prepared. </w:t>
      </w:r>
    </w:p>
    <w:p w:rsidR="00955840" w:rsidRPr="00955840" w:rsidRDefault="00955840" w:rsidP="00955840">
      <w:pPr>
        <w:jc w:val="both"/>
        <w:rPr>
          <w:rFonts w:cs="Arial"/>
          <w:color w:val="000000" w:themeColor="text1"/>
          <w:szCs w:val="24"/>
        </w:rPr>
      </w:pPr>
    </w:p>
    <w:p w:rsidR="00955840" w:rsidRPr="00955840" w:rsidRDefault="00955840" w:rsidP="00955840">
      <w:pPr>
        <w:jc w:val="both"/>
        <w:rPr>
          <w:rFonts w:cs="Arial"/>
          <w:color w:val="000000" w:themeColor="text1"/>
          <w:szCs w:val="24"/>
        </w:rPr>
      </w:pPr>
      <w:r w:rsidRPr="00955840">
        <w:rPr>
          <w:rFonts w:cs="Arial"/>
          <w:color w:val="000000" w:themeColor="text1"/>
          <w:szCs w:val="24"/>
        </w:rPr>
        <w:t xml:space="preserve">The Dementia Hub at the Bridge is a ‘dementia friendly’ meeting place where carers, family and friends are welcome. </w:t>
      </w:r>
    </w:p>
    <w:p w:rsidR="00955840" w:rsidRPr="00955840" w:rsidRDefault="00955840" w:rsidP="00955840">
      <w:pPr>
        <w:jc w:val="both"/>
        <w:rPr>
          <w:rFonts w:cs="Arial"/>
          <w:color w:val="000000" w:themeColor="text1"/>
          <w:szCs w:val="24"/>
        </w:rPr>
      </w:pPr>
    </w:p>
    <w:p w:rsidR="00955840" w:rsidRPr="00955840" w:rsidRDefault="00955840" w:rsidP="00955840">
      <w:pPr>
        <w:jc w:val="both"/>
        <w:rPr>
          <w:rFonts w:cs="Arial"/>
          <w:color w:val="000000" w:themeColor="text1"/>
          <w:szCs w:val="24"/>
        </w:rPr>
      </w:pPr>
      <w:r w:rsidRPr="00955840">
        <w:rPr>
          <w:rFonts w:cs="Arial"/>
          <w:color w:val="000000" w:themeColor="text1"/>
          <w:szCs w:val="24"/>
        </w:rPr>
        <w:t>Harrow Dementia Hub offers a weekly drop-in in a convenient location towards the east of the borough. There is opportunity to meet others living with Dementia in Harrow for a cup of tea or coffee, a chat and fun and varied activities in a relaxed environment.</w:t>
      </w:r>
    </w:p>
    <w:p w:rsidR="00955840" w:rsidRPr="00955840" w:rsidRDefault="00955840" w:rsidP="00955840">
      <w:pPr>
        <w:jc w:val="both"/>
        <w:rPr>
          <w:rFonts w:cs="Arial"/>
          <w:color w:val="000000" w:themeColor="text1"/>
          <w:szCs w:val="24"/>
        </w:rPr>
      </w:pPr>
    </w:p>
    <w:p w:rsidR="00955840" w:rsidRPr="00955840" w:rsidRDefault="00955840" w:rsidP="00955840">
      <w:pPr>
        <w:jc w:val="both"/>
        <w:rPr>
          <w:rFonts w:cs="Arial"/>
          <w:color w:val="000000" w:themeColor="text1"/>
          <w:szCs w:val="24"/>
        </w:rPr>
      </w:pPr>
      <w:r w:rsidRPr="00955840">
        <w:rPr>
          <w:rFonts w:cs="Arial"/>
          <w:color w:val="000000" w:themeColor="text1"/>
          <w:szCs w:val="24"/>
        </w:rPr>
        <w:t>Harrow Dementia Hub activities include:</w:t>
      </w:r>
    </w:p>
    <w:p w:rsidR="00955840" w:rsidRPr="00955840" w:rsidRDefault="00955840" w:rsidP="00955840">
      <w:pPr>
        <w:jc w:val="both"/>
        <w:rPr>
          <w:rFonts w:cs="Arial"/>
          <w:color w:val="000000" w:themeColor="text1"/>
          <w:szCs w:val="24"/>
        </w:rPr>
      </w:pPr>
    </w:p>
    <w:p w:rsidR="00955840" w:rsidRPr="00063926" w:rsidRDefault="00955840" w:rsidP="00955840">
      <w:pPr>
        <w:pStyle w:val="ListParagraph"/>
        <w:numPr>
          <w:ilvl w:val="0"/>
          <w:numId w:val="42"/>
        </w:numPr>
        <w:jc w:val="both"/>
        <w:rPr>
          <w:color w:val="000000" w:themeColor="text1"/>
          <w:sz w:val="24"/>
          <w:szCs w:val="24"/>
        </w:rPr>
      </w:pPr>
      <w:r w:rsidRPr="00063926">
        <w:rPr>
          <w:color w:val="000000" w:themeColor="text1"/>
          <w:sz w:val="24"/>
          <w:szCs w:val="24"/>
        </w:rPr>
        <w:t>Information and advice sessions</w:t>
      </w:r>
    </w:p>
    <w:p w:rsidR="00955840" w:rsidRPr="00063926" w:rsidRDefault="00955840" w:rsidP="00955840">
      <w:pPr>
        <w:pStyle w:val="ListParagraph"/>
        <w:numPr>
          <w:ilvl w:val="0"/>
          <w:numId w:val="42"/>
        </w:numPr>
        <w:jc w:val="both"/>
        <w:rPr>
          <w:color w:val="000000" w:themeColor="text1"/>
          <w:sz w:val="24"/>
          <w:szCs w:val="24"/>
        </w:rPr>
      </w:pPr>
      <w:r w:rsidRPr="00063926">
        <w:rPr>
          <w:color w:val="000000" w:themeColor="text1"/>
          <w:sz w:val="24"/>
          <w:szCs w:val="24"/>
        </w:rPr>
        <w:t>Expert guest speakers</w:t>
      </w:r>
    </w:p>
    <w:p w:rsidR="00955840" w:rsidRPr="00063926" w:rsidRDefault="00955840" w:rsidP="00955840">
      <w:pPr>
        <w:pStyle w:val="ListParagraph"/>
        <w:numPr>
          <w:ilvl w:val="0"/>
          <w:numId w:val="42"/>
        </w:numPr>
        <w:jc w:val="both"/>
        <w:rPr>
          <w:color w:val="000000" w:themeColor="text1"/>
          <w:sz w:val="24"/>
          <w:szCs w:val="24"/>
        </w:rPr>
      </w:pPr>
      <w:r w:rsidRPr="00063926">
        <w:rPr>
          <w:color w:val="000000" w:themeColor="text1"/>
          <w:sz w:val="24"/>
          <w:szCs w:val="24"/>
        </w:rPr>
        <w:t>Support and training</w:t>
      </w:r>
    </w:p>
    <w:p w:rsidR="00955840" w:rsidRPr="00063926" w:rsidRDefault="00955840" w:rsidP="00955840">
      <w:pPr>
        <w:pStyle w:val="ListParagraph"/>
        <w:numPr>
          <w:ilvl w:val="0"/>
          <w:numId w:val="42"/>
        </w:numPr>
        <w:jc w:val="both"/>
        <w:rPr>
          <w:color w:val="000000" w:themeColor="text1"/>
          <w:sz w:val="24"/>
          <w:szCs w:val="24"/>
        </w:rPr>
      </w:pPr>
      <w:r w:rsidRPr="00063926">
        <w:rPr>
          <w:color w:val="000000" w:themeColor="text1"/>
          <w:sz w:val="24"/>
          <w:szCs w:val="24"/>
        </w:rPr>
        <w:t>Refreshments</w:t>
      </w:r>
    </w:p>
    <w:p w:rsidR="00955840" w:rsidRPr="00063926" w:rsidRDefault="00955840" w:rsidP="00955840">
      <w:pPr>
        <w:pStyle w:val="ListParagraph"/>
        <w:numPr>
          <w:ilvl w:val="0"/>
          <w:numId w:val="42"/>
        </w:numPr>
        <w:jc w:val="both"/>
        <w:rPr>
          <w:color w:val="000000" w:themeColor="text1"/>
          <w:sz w:val="24"/>
          <w:szCs w:val="24"/>
        </w:rPr>
      </w:pPr>
      <w:r w:rsidRPr="00063926">
        <w:rPr>
          <w:color w:val="000000" w:themeColor="text1"/>
          <w:sz w:val="24"/>
          <w:szCs w:val="24"/>
        </w:rPr>
        <w:t>Wellbeing and therapeutic activities e.g. cognitive stimulation, movement &amp; exercise sessions, music, reminiscence, quizzes, poetry readings and more</w:t>
      </w:r>
    </w:p>
    <w:p w:rsidR="00955840" w:rsidRPr="00063926" w:rsidRDefault="00955840" w:rsidP="00955840">
      <w:pPr>
        <w:pStyle w:val="ListParagraph"/>
        <w:numPr>
          <w:ilvl w:val="0"/>
          <w:numId w:val="42"/>
        </w:numPr>
        <w:jc w:val="both"/>
        <w:rPr>
          <w:color w:val="000000" w:themeColor="text1"/>
          <w:sz w:val="24"/>
          <w:szCs w:val="24"/>
        </w:rPr>
      </w:pPr>
      <w:r w:rsidRPr="00063926">
        <w:rPr>
          <w:color w:val="000000" w:themeColor="text1"/>
          <w:sz w:val="24"/>
          <w:szCs w:val="24"/>
        </w:rPr>
        <w:lastRenderedPageBreak/>
        <w:t>An opportunity to share experiences</w:t>
      </w:r>
    </w:p>
    <w:p w:rsidR="00955840" w:rsidRPr="00063926" w:rsidRDefault="00955840" w:rsidP="00955840">
      <w:pPr>
        <w:pStyle w:val="ListParagraph"/>
        <w:numPr>
          <w:ilvl w:val="0"/>
          <w:numId w:val="42"/>
        </w:numPr>
        <w:jc w:val="both"/>
        <w:rPr>
          <w:color w:val="000000" w:themeColor="text1"/>
          <w:sz w:val="24"/>
          <w:szCs w:val="24"/>
        </w:rPr>
      </w:pPr>
      <w:r w:rsidRPr="00063926">
        <w:rPr>
          <w:color w:val="000000" w:themeColor="text1"/>
          <w:sz w:val="24"/>
          <w:szCs w:val="24"/>
        </w:rPr>
        <w:t>Social opportunities</w:t>
      </w:r>
    </w:p>
    <w:p w:rsidR="00955840" w:rsidRPr="00063926" w:rsidRDefault="00955840" w:rsidP="00955840">
      <w:pPr>
        <w:pStyle w:val="ListParagraph"/>
        <w:numPr>
          <w:ilvl w:val="0"/>
          <w:numId w:val="42"/>
        </w:numPr>
        <w:jc w:val="both"/>
        <w:rPr>
          <w:color w:val="000000" w:themeColor="text1"/>
          <w:sz w:val="24"/>
          <w:szCs w:val="24"/>
        </w:rPr>
      </w:pPr>
      <w:r w:rsidRPr="00063926">
        <w:rPr>
          <w:color w:val="000000" w:themeColor="text1"/>
          <w:sz w:val="24"/>
          <w:szCs w:val="24"/>
        </w:rPr>
        <w:t>A garden space</w:t>
      </w:r>
    </w:p>
    <w:p w:rsidR="00955840" w:rsidRPr="00955840" w:rsidRDefault="00955840" w:rsidP="00955840">
      <w:pPr>
        <w:pStyle w:val="ListParagraph"/>
        <w:jc w:val="both"/>
        <w:rPr>
          <w:color w:val="000000" w:themeColor="text1"/>
          <w:szCs w:val="24"/>
        </w:rPr>
      </w:pPr>
    </w:p>
    <w:p w:rsidR="00955840" w:rsidRPr="00955840" w:rsidRDefault="00955840" w:rsidP="00955840">
      <w:pPr>
        <w:jc w:val="both"/>
        <w:rPr>
          <w:rFonts w:cs="Arial"/>
          <w:color w:val="000000" w:themeColor="text1"/>
          <w:szCs w:val="24"/>
        </w:rPr>
      </w:pPr>
    </w:p>
    <w:p w:rsidR="00955840" w:rsidRPr="00955840" w:rsidRDefault="00955840" w:rsidP="00955840">
      <w:pPr>
        <w:jc w:val="both"/>
        <w:rPr>
          <w:rFonts w:cs="Arial"/>
          <w:b/>
          <w:color w:val="000000" w:themeColor="text1"/>
          <w:szCs w:val="24"/>
        </w:rPr>
      </w:pPr>
      <w:r w:rsidRPr="00955840">
        <w:rPr>
          <w:rFonts w:cs="Arial"/>
          <w:b/>
          <w:color w:val="000000" w:themeColor="text1"/>
          <w:szCs w:val="24"/>
        </w:rPr>
        <w:t xml:space="preserve">Recommendation 5 </w:t>
      </w:r>
    </w:p>
    <w:p w:rsidR="00955840" w:rsidRPr="00955840" w:rsidRDefault="00955840" w:rsidP="00955840">
      <w:pPr>
        <w:jc w:val="both"/>
        <w:rPr>
          <w:rFonts w:cs="Arial"/>
          <w:color w:val="000000" w:themeColor="text1"/>
          <w:szCs w:val="24"/>
        </w:rPr>
      </w:pPr>
      <w:r w:rsidRPr="00955840">
        <w:rPr>
          <w:rFonts w:cs="Arial"/>
          <w:color w:val="000000" w:themeColor="text1"/>
          <w:szCs w:val="24"/>
        </w:rPr>
        <w:t>Council departments are encouraged to explore opportunities for increased partnership working with:</w:t>
      </w:r>
    </w:p>
    <w:p w:rsidR="00955840" w:rsidRPr="00955840" w:rsidRDefault="00955840" w:rsidP="00955840">
      <w:pPr>
        <w:jc w:val="both"/>
        <w:rPr>
          <w:rFonts w:cs="Arial"/>
          <w:b/>
          <w:color w:val="000000" w:themeColor="text1"/>
          <w:szCs w:val="24"/>
        </w:rPr>
      </w:pPr>
    </w:p>
    <w:p w:rsidR="00955840" w:rsidRPr="00955840" w:rsidRDefault="00955840" w:rsidP="00955840">
      <w:pPr>
        <w:jc w:val="both"/>
        <w:rPr>
          <w:rFonts w:cs="Arial"/>
          <w:color w:val="000000" w:themeColor="text1"/>
          <w:szCs w:val="24"/>
        </w:rPr>
      </w:pPr>
      <w:r w:rsidRPr="00955840">
        <w:rPr>
          <w:rFonts w:cs="Arial"/>
          <w:color w:val="000000" w:themeColor="text1"/>
          <w:szCs w:val="24"/>
        </w:rPr>
        <w:t>a) Harrow CCG to ensure better integration of health and adult social care services, improved awareness of and signposting to other services in the borough and identify gaps in service provision;</w:t>
      </w:r>
    </w:p>
    <w:p w:rsidR="00955840" w:rsidRPr="00955840" w:rsidRDefault="00955840" w:rsidP="00955840">
      <w:pPr>
        <w:jc w:val="both"/>
        <w:rPr>
          <w:rFonts w:cs="Arial"/>
          <w:color w:val="000000" w:themeColor="text1"/>
          <w:szCs w:val="24"/>
        </w:rPr>
      </w:pPr>
    </w:p>
    <w:p w:rsidR="00955840" w:rsidRPr="00955840" w:rsidRDefault="00955840" w:rsidP="00955840">
      <w:pPr>
        <w:spacing w:after="100" w:afterAutospacing="1"/>
        <w:rPr>
          <w:rFonts w:cs="Arial"/>
          <w:color w:val="000000" w:themeColor="text1"/>
          <w:szCs w:val="24"/>
        </w:rPr>
      </w:pPr>
      <w:r w:rsidRPr="00955840">
        <w:rPr>
          <w:rFonts w:cs="Arial"/>
          <w:color w:val="000000" w:themeColor="text1"/>
          <w:szCs w:val="24"/>
        </w:rPr>
        <w:t xml:space="preserve">b) </w:t>
      </w:r>
      <w:r w:rsidR="00970907" w:rsidRPr="00955840">
        <w:rPr>
          <w:rFonts w:cs="Arial"/>
          <w:color w:val="000000" w:themeColor="text1"/>
          <w:szCs w:val="24"/>
        </w:rPr>
        <w:t>Local</w:t>
      </w:r>
      <w:r w:rsidRPr="00955840">
        <w:rPr>
          <w:rFonts w:cs="Arial"/>
          <w:color w:val="000000" w:themeColor="text1"/>
          <w:szCs w:val="24"/>
        </w:rPr>
        <w:t xml:space="preserve"> VCS sector to raise awareness of dementia diagnosis and </w:t>
      </w:r>
      <w:r w:rsidR="00970907" w:rsidRPr="00955840">
        <w:rPr>
          <w:rFonts w:cs="Arial"/>
          <w:color w:val="000000" w:themeColor="text1"/>
          <w:szCs w:val="24"/>
        </w:rPr>
        <w:t>support services</w:t>
      </w:r>
      <w:r w:rsidRPr="00955840">
        <w:rPr>
          <w:rFonts w:cs="Arial"/>
          <w:color w:val="000000" w:themeColor="text1"/>
          <w:szCs w:val="24"/>
        </w:rPr>
        <w:t xml:space="preserve"> among BAME communities.</w:t>
      </w:r>
    </w:p>
    <w:p w:rsidR="00955840" w:rsidRPr="00955840" w:rsidRDefault="00955840" w:rsidP="00955840">
      <w:pPr>
        <w:spacing w:after="100" w:afterAutospacing="1"/>
        <w:rPr>
          <w:rFonts w:cs="Arial"/>
          <w:b/>
          <w:color w:val="000000" w:themeColor="text1"/>
          <w:szCs w:val="24"/>
        </w:rPr>
      </w:pPr>
      <w:r w:rsidRPr="00955840">
        <w:rPr>
          <w:rFonts w:cs="Arial"/>
          <w:b/>
          <w:color w:val="000000" w:themeColor="text1"/>
          <w:szCs w:val="24"/>
        </w:rPr>
        <w:t xml:space="preserve">Update: </w:t>
      </w:r>
    </w:p>
    <w:p w:rsidR="00955840" w:rsidRPr="00955840" w:rsidRDefault="00955840" w:rsidP="00955840">
      <w:pPr>
        <w:spacing w:after="100" w:afterAutospacing="1"/>
        <w:rPr>
          <w:rFonts w:cs="Arial"/>
          <w:color w:val="000000" w:themeColor="text1"/>
          <w:szCs w:val="24"/>
        </w:rPr>
      </w:pPr>
      <w:r w:rsidRPr="00955840">
        <w:rPr>
          <w:rFonts w:cs="Arial"/>
          <w:color w:val="000000" w:themeColor="text1"/>
          <w:szCs w:val="24"/>
        </w:rPr>
        <w:t xml:space="preserve">a) </w:t>
      </w:r>
    </w:p>
    <w:p w:rsidR="00955840" w:rsidRPr="00955840" w:rsidRDefault="00955840" w:rsidP="00955840">
      <w:pPr>
        <w:spacing w:after="100" w:afterAutospacing="1"/>
        <w:rPr>
          <w:rFonts w:cs="Arial"/>
          <w:color w:val="000000" w:themeColor="text1"/>
          <w:szCs w:val="24"/>
        </w:rPr>
      </w:pPr>
      <w:r w:rsidRPr="00955840">
        <w:rPr>
          <w:rFonts w:cs="Arial"/>
          <w:color w:val="000000" w:themeColor="text1"/>
          <w:szCs w:val="24"/>
        </w:rPr>
        <w:t xml:space="preserve">Harrow Clinical Commissioning Group, the Local Authority and key Providers in Harrow have been working in partnership to develop and deliver integrated care initially for a subset of older adults, one group being the 65+ with dementia. </w:t>
      </w:r>
    </w:p>
    <w:p w:rsidR="00955840" w:rsidRDefault="00955840" w:rsidP="00955840">
      <w:pPr>
        <w:spacing w:after="100" w:afterAutospacing="1"/>
        <w:rPr>
          <w:rFonts w:cs="Arial"/>
          <w:color w:val="000000" w:themeColor="text1"/>
          <w:szCs w:val="24"/>
        </w:rPr>
      </w:pPr>
      <w:r w:rsidRPr="00955840">
        <w:rPr>
          <w:rFonts w:cs="Arial"/>
          <w:color w:val="000000" w:themeColor="text1"/>
          <w:szCs w:val="24"/>
        </w:rPr>
        <w:t xml:space="preserve">The aim is to enable truly person-centred care that supports adults with significant needs to achieve the best possible quality of life with an increased focus on prevention, proactive care and self-reliance. </w:t>
      </w:r>
    </w:p>
    <w:p w:rsidR="00962609" w:rsidRPr="00955840" w:rsidRDefault="00962609" w:rsidP="00955840">
      <w:pPr>
        <w:spacing w:after="100" w:afterAutospacing="1"/>
        <w:rPr>
          <w:rFonts w:cs="Arial"/>
          <w:color w:val="000000" w:themeColor="text1"/>
          <w:szCs w:val="24"/>
        </w:rPr>
      </w:pPr>
      <w:r w:rsidRPr="00962609">
        <w:rPr>
          <w:rFonts w:cs="Arial"/>
          <w:color w:val="000000" w:themeColor="text1"/>
          <w:szCs w:val="24"/>
        </w:rPr>
        <w:t>In accordance with the publication of the NHS long term plan, the North West London Sustainable Trans</w:t>
      </w:r>
      <w:r>
        <w:rPr>
          <w:rFonts w:cs="Arial"/>
          <w:color w:val="000000" w:themeColor="text1"/>
          <w:szCs w:val="24"/>
        </w:rPr>
        <w:t>f</w:t>
      </w:r>
      <w:r w:rsidRPr="00962609">
        <w:rPr>
          <w:rFonts w:cs="Arial"/>
          <w:color w:val="000000" w:themeColor="text1"/>
          <w:szCs w:val="24"/>
        </w:rPr>
        <w:t xml:space="preserve">ormation Partnership (STP) </w:t>
      </w:r>
      <w:r w:rsidR="00970907" w:rsidRPr="00962609">
        <w:rPr>
          <w:rFonts w:cs="Arial"/>
          <w:color w:val="000000" w:themeColor="text1"/>
          <w:szCs w:val="24"/>
        </w:rPr>
        <w:t>is</w:t>
      </w:r>
      <w:r w:rsidRPr="00962609">
        <w:rPr>
          <w:rFonts w:cs="Arial"/>
          <w:color w:val="000000" w:themeColor="text1"/>
          <w:szCs w:val="24"/>
        </w:rPr>
        <w:t xml:space="preserve"> developing their ap</w:t>
      </w:r>
      <w:r>
        <w:rPr>
          <w:rFonts w:cs="Arial"/>
          <w:color w:val="000000" w:themeColor="text1"/>
          <w:szCs w:val="24"/>
        </w:rPr>
        <w:t>proach to creating inte</w:t>
      </w:r>
      <w:r w:rsidRPr="00962609">
        <w:rPr>
          <w:rFonts w:cs="Arial"/>
          <w:color w:val="000000" w:themeColor="text1"/>
          <w:szCs w:val="24"/>
        </w:rPr>
        <w:t xml:space="preserve">grated care across North West London. Harrow CCG and </w:t>
      </w:r>
      <w:r w:rsidR="00063926">
        <w:rPr>
          <w:rFonts w:cs="Arial"/>
          <w:color w:val="000000" w:themeColor="text1"/>
          <w:szCs w:val="24"/>
        </w:rPr>
        <w:t xml:space="preserve">Harrow </w:t>
      </w:r>
      <w:r w:rsidRPr="00962609">
        <w:rPr>
          <w:rFonts w:cs="Arial"/>
          <w:color w:val="000000" w:themeColor="text1"/>
          <w:szCs w:val="24"/>
        </w:rPr>
        <w:t>Council are working with Providers, the newly established Primary Care Networks (PCNs) and the VCS to establish the Integrated Care Partnership (ICP) in Harrow.</w:t>
      </w:r>
    </w:p>
    <w:p w:rsidR="00955840" w:rsidRPr="00955840" w:rsidRDefault="00955840" w:rsidP="00955840">
      <w:pPr>
        <w:spacing w:after="100" w:afterAutospacing="1"/>
        <w:rPr>
          <w:rFonts w:cs="Arial"/>
          <w:i/>
          <w:color w:val="000000" w:themeColor="text1"/>
          <w:szCs w:val="24"/>
        </w:rPr>
      </w:pPr>
      <w:r w:rsidRPr="00955840">
        <w:rPr>
          <w:rFonts w:cs="Arial"/>
          <w:i/>
          <w:color w:val="000000" w:themeColor="text1"/>
          <w:szCs w:val="24"/>
        </w:rPr>
        <w:t>See also Recommendation 4 c)</w:t>
      </w:r>
    </w:p>
    <w:p w:rsidR="00955840" w:rsidRPr="00955840" w:rsidRDefault="00955840" w:rsidP="00955840">
      <w:pPr>
        <w:spacing w:after="100" w:afterAutospacing="1"/>
        <w:jc w:val="both"/>
        <w:rPr>
          <w:rFonts w:cs="Arial"/>
          <w:color w:val="000000" w:themeColor="text1"/>
          <w:szCs w:val="24"/>
        </w:rPr>
      </w:pPr>
      <w:r w:rsidRPr="00955840">
        <w:rPr>
          <w:rFonts w:cs="Arial"/>
          <w:color w:val="000000" w:themeColor="text1"/>
          <w:szCs w:val="24"/>
        </w:rPr>
        <w:t xml:space="preserve">b) </w:t>
      </w:r>
    </w:p>
    <w:p w:rsidR="00955840" w:rsidRPr="00955840" w:rsidRDefault="00955840" w:rsidP="00955840">
      <w:pPr>
        <w:spacing w:after="100" w:afterAutospacing="1"/>
        <w:rPr>
          <w:rFonts w:cs="Arial"/>
          <w:color w:val="000000" w:themeColor="text1"/>
          <w:szCs w:val="24"/>
        </w:rPr>
      </w:pPr>
      <w:r w:rsidRPr="00955840">
        <w:rPr>
          <w:rFonts w:cs="Arial"/>
          <w:color w:val="000000" w:themeColor="text1"/>
          <w:szCs w:val="24"/>
        </w:rPr>
        <w:t>The council has been working with Voluntary Action Harrow (VAH) to raise awareness of dementia diagnosis and support services among BAME communities.</w:t>
      </w:r>
    </w:p>
    <w:p w:rsidR="00955840" w:rsidRPr="00955840" w:rsidRDefault="00955840" w:rsidP="00955840">
      <w:pPr>
        <w:spacing w:after="100" w:afterAutospacing="1"/>
        <w:jc w:val="both"/>
        <w:rPr>
          <w:rFonts w:cs="Arial"/>
          <w:color w:val="000000" w:themeColor="text1"/>
          <w:szCs w:val="24"/>
        </w:rPr>
      </w:pPr>
      <w:r w:rsidRPr="00955840">
        <w:rPr>
          <w:rFonts w:cs="Arial"/>
          <w:color w:val="000000" w:themeColor="text1"/>
          <w:szCs w:val="24"/>
        </w:rPr>
        <w:t xml:space="preserve">An example of this is a dementia awareness raising event organised by VAH during Dementia Action Week 24 organisations representing various groups, faiths and cultures participated. </w:t>
      </w:r>
    </w:p>
    <w:p w:rsidR="00955840" w:rsidRPr="00955840" w:rsidRDefault="00955840" w:rsidP="00955840">
      <w:pPr>
        <w:spacing w:after="100" w:afterAutospacing="1"/>
        <w:jc w:val="both"/>
        <w:rPr>
          <w:color w:val="000000" w:themeColor="text1"/>
          <w:szCs w:val="24"/>
        </w:rPr>
      </w:pPr>
      <w:r w:rsidRPr="00955840">
        <w:rPr>
          <w:color w:val="000000" w:themeColor="text1"/>
          <w:szCs w:val="24"/>
        </w:rPr>
        <w:t>In addition, VAH</w:t>
      </w:r>
      <w:r w:rsidR="00E115B6">
        <w:rPr>
          <w:color w:val="000000" w:themeColor="text1"/>
          <w:szCs w:val="24"/>
        </w:rPr>
        <w:t>, as part of Harrow Community Action,</w:t>
      </w:r>
      <w:r w:rsidRPr="00955840">
        <w:rPr>
          <w:color w:val="000000" w:themeColor="text1"/>
          <w:szCs w:val="24"/>
        </w:rPr>
        <w:t xml:space="preserve"> is actively involved in the role out of social prescribing in Harrow. </w:t>
      </w:r>
      <w:r w:rsidRPr="00955840">
        <w:rPr>
          <w:color w:val="000000" w:themeColor="text1"/>
        </w:rPr>
        <w:t xml:space="preserve">Social prescribing aims to address the needs of people that do not have a clinical or social care need and could be better using services in the community or voluntary sector to help them improve their wellbeing. It is a way of “prescribing” structured activity to </w:t>
      </w:r>
      <w:r w:rsidRPr="00955840">
        <w:rPr>
          <w:color w:val="000000" w:themeColor="text1"/>
        </w:rPr>
        <w:lastRenderedPageBreak/>
        <w:t xml:space="preserve">individuals who have social, emotional or practical needs that cannot be met by clinical or social care services.  This could include people with dementia or their carers.   A directory of services is being developed covering the range of voluntary and community sector organisations across Harrow that could be utilised as part of this service, which will </w:t>
      </w:r>
      <w:r w:rsidR="00B725B1">
        <w:rPr>
          <w:color w:val="000000" w:themeColor="text1"/>
        </w:rPr>
        <w:t xml:space="preserve">include </w:t>
      </w:r>
      <w:r w:rsidRPr="00955840">
        <w:rPr>
          <w:color w:val="000000" w:themeColor="text1"/>
        </w:rPr>
        <w:t xml:space="preserve">a range of services for BAME populations, people with dementia and carers. </w:t>
      </w:r>
    </w:p>
    <w:p w:rsidR="00955840" w:rsidRPr="00955840" w:rsidRDefault="00955840" w:rsidP="00955840">
      <w:pPr>
        <w:spacing w:after="100" w:afterAutospacing="1"/>
        <w:jc w:val="both"/>
        <w:rPr>
          <w:color w:val="000000" w:themeColor="text1"/>
          <w:szCs w:val="24"/>
        </w:rPr>
      </w:pPr>
      <w:r w:rsidRPr="00955840">
        <w:rPr>
          <w:color w:val="000000" w:themeColor="text1"/>
          <w:szCs w:val="24"/>
        </w:rPr>
        <w:t xml:space="preserve">The aim is to help improve signposting and identifying gaps across communities. The social prescribing offer in Harrow also brings with it new technology that has been procured by Public Health to link newly appointed social prescribers who can be referred to by GP surgeries and social care professionals to the directory resources with the functionality to report on activity and outcomes through the system. </w:t>
      </w:r>
    </w:p>
    <w:p w:rsidR="00955840" w:rsidRPr="00955840" w:rsidRDefault="00955840" w:rsidP="00955840">
      <w:pPr>
        <w:jc w:val="both"/>
        <w:outlineLvl w:val="1"/>
        <w:rPr>
          <w:rFonts w:cs="Arial"/>
          <w:b/>
          <w:bCs/>
          <w:color w:val="000000" w:themeColor="text1"/>
          <w:sz w:val="28"/>
          <w:szCs w:val="32"/>
        </w:rPr>
      </w:pPr>
    </w:p>
    <w:p w:rsidR="00955840" w:rsidRPr="00955840" w:rsidRDefault="00955840" w:rsidP="00955840">
      <w:pPr>
        <w:jc w:val="both"/>
        <w:outlineLvl w:val="1"/>
        <w:rPr>
          <w:rFonts w:cs="Arial"/>
          <w:b/>
          <w:bCs/>
          <w:color w:val="000000" w:themeColor="text1"/>
          <w:sz w:val="28"/>
          <w:szCs w:val="32"/>
        </w:rPr>
      </w:pPr>
      <w:r w:rsidRPr="00955840">
        <w:rPr>
          <w:rFonts w:cs="Arial"/>
          <w:b/>
          <w:bCs/>
          <w:color w:val="000000" w:themeColor="text1"/>
          <w:sz w:val="28"/>
          <w:szCs w:val="32"/>
        </w:rPr>
        <w:t>Financial Implications</w:t>
      </w:r>
    </w:p>
    <w:p w:rsidR="00955840" w:rsidRPr="00955840" w:rsidRDefault="00955840" w:rsidP="00955840">
      <w:pPr>
        <w:jc w:val="both"/>
        <w:rPr>
          <w:rFonts w:cs="Arial"/>
          <w:color w:val="000000" w:themeColor="text1"/>
        </w:rPr>
      </w:pPr>
      <w:r w:rsidRPr="00955840">
        <w:rPr>
          <w:color w:val="000000" w:themeColor="text1"/>
        </w:rPr>
        <w:t xml:space="preserve">There are no direct financial implications associated with this report however any costs associated with new provision or re-procurement of contracts as a result of service development are expected to be reported to Cabinet as part of the Council’s financial regulations and governance framework.  </w:t>
      </w:r>
    </w:p>
    <w:p w:rsidR="00955840" w:rsidRPr="00955840" w:rsidRDefault="00955840" w:rsidP="00955840">
      <w:pPr>
        <w:jc w:val="both"/>
        <w:outlineLvl w:val="1"/>
        <w:rPr>
          <w:color w:val="000000" w:themeColor="text1"/>
        </w:rPr>
      </w:pPr>
    </w:p>
    <w:p w:rsidR="00955840" w:rsidRPr="00955840" w:rsidRDefault="00955840" w:rsidP="00955840">
      <w:pPr>
        <w:jc w:val="both"/>
        <w:outlineLvl w:val="1"/>
        <w:rPr>
          <w:rFonts w:cs="Arial"/>
          <w:b/>
          <w:bCs/>
          <w:color w:val="000000" w:themeColor="text1"/>
          <w:sz w:val="28"/>
          <w:szCs w:val="32"/>
        </w:rPr>
      </w:pPr>
      <w:r w:rsidRPr="00955840">
        <w:rPr>
          <w:rFonts w:cs="Arial"/>
          <w:b/>
          <w:bCs/>
          <w:color w:val="000000" w:themeColor="text1"/>
          <w:sz w:val="28"/>
          <w:szCs w:val="32"/>
        </w:rPr>
        <w:t>Performance Issues</w:t>
      </w:r>
    </w:p>
    <w:p w:rsidR="00955840" w:rsidRPr="00955840" w:rsidRDefault="00955840" w:rsidP="00955840">
      <w:pPr>
        <w:jc w:val="both"/>
        <w:rPr>
          <w:color w:val="000000" w:themeColor="text1"/>
        </w:rPr>
      </w:pPr>
      <w:r w:rsidRPr="00955840">
        <w:rPr>
          <w:color w:val="000000" w:themeColor="text1"/>
        </w:rPr>
        <w:t xml:space="preserve">There </w:t>
      </w:r>
      <w:proofErr w:type="gramStart"/>
      <w:r w:rsidRPr="00955840">
        <w:rPr>
          <w:color w:val="000000" w:themeColor="text1"/>
        </w:rPr>
        <w:t>are</w:t>
      </w:r>
      <w:proofErr w:type="gramEnd"/>
      <w:r w:rsidRPr="00955840">
        <w:rPr>
          <w:color w:val="000000" w:themeColor="text1"/>
        </w:rPr>
        <w:t xml:space="preserve"> no specific performance issues associated with this report.  </w:t>
      </w:r>
    </w:p>
    <w:p w:rsidR="00955840" w:rsidRPr="00955840" w:rsidRDefault="00955840" w:rsidP="00955840">
      <w:pPr>
        <w:jc w:val="both"/>
        <w:rPr>
          <w:color w:val="000000" w:themeColor="text1"/>
        </w:rPr>
      </w:pPr>
    </w:p>
    <w:p w:rsidR="00955840" w:rsidRPr="00955840" w:rsidRDefault="00955840" w:rsidP="00955840">
      <w:pPr>
        <w:jc w:val="both"/>
        <w:rPr>
          <w:b/>
          <w:color w:val="000000" w:themeColor="text1"/>
          <w:sz w:val="28"/>
          <w:szCs w:val="28"/>
        </w:rPr>
      </w:pPr>
      <w:r w:rsidRPr="00955840">
        <w:rPr>
          <w:b/>
          <w:color w:val="000000" w:themeColor="text1"/>
          <w:sz w:val="28"/>
          <w:szCs w:val="28"/>
        </w:rPr>
        <w:t>Environmental Impact</w:t>
      </w:r>
    </w:p>
    <w:p w:rsidR="00955840" w:rsidRPr="00955840" w:rsidRDefault="00955840" w:rsidP="00955840">
      <w:pPr>
        <w:jc w:val="both"/>
        <w:rPr>
          <w:color w:val="000000" w:themeColor="text1"/>
        </w:rPr>
      </w:pPr>
      <w:r w:rsidRPr="00955840">
        <w:rPr>
          <w:color w:val="000000" w:themeColor="text1"/>
        </w:rPr>
        <w:t xml:space="preserve">There is no specific environmental impact associated with this report.  </w:t>
      </w:r>
    </w:p>
    <w:p w:rsidR="00955840" w:rsidRPr="00955840" w:rsidRDefault="00955840" w:rsidP="00955840">
      <w:pPr>
        <w:jc w:val="both"/>
        <w:rPr>
          <w:color w:val="000000" w:themeColor="text1"/>
        </w:rPr>
      </w:pPr>
    </w:p>
    <w:p w:rsidR="00955840" w:rsidRPr="00955840" w:rsidRDefault="00955840" w:rsidP="00955840">
      <w:pPr>
        <w:jc w:val="both"/>
        <w:rPr>
          <w:b/>
          <w:color w:val="000000" w:themeColor="text1"/>
          <w:sz w:val="28"/>
          <w:szCs w:val="28"/>
        </w:rPr>
      </w:pPr>
      <w:r w:rsidRPr="00955840">
        <w:rPr>
          <w:b/>
          <w:color w:val="000000" w:themeColor="text1"/>
          <w:sz w:val="28"/>
          <w:szCs w:val="28"/>
        </w:rPr>
        <w:t>Risk Management Implications</w:t>
      </w:r>
    </w:p>
    <w:p w:rsidR="00955840" w:rsidRPr="00955840" w:rsidRDefault="00955840" w:rsidP="00955840">
      <w:pPr>
        <w:keepNext/>
        <w:jc w:val="both"/>
        <w:outlineLvl w:val="0"/>
        <w:rPr>
          <w:rFonts w:cs="Arial"/>
          <w:bCs/>
          <w:color w:val="000000" w:themeColor="text1"/>
          <w:szCs w:val="24"/>
        </w:rPr>
      </w:pPr>
      <w:r w:rsidRPr="00955840">
        <w:rPr>
          <w:rFonts w:cs="Arial"/>
          <w:bCs/>
          <w:color w:val="000000" w:themeColor="text1"/>
          <w:szCs w:val="24"/>
        </w:rPr>
        <w:t>There are none specific to this report.</w:t>
      </w:r>
    </w:p>
    <w:p w:rsidR="00955840" w:rsidRPr="00955840" w:rsidRDefault="00955840" w:rsidP="00955840">
      <w:pPr>
        <w:jc w:val="both"/>
        <w:rPr>
          <w:b/>
          <w:color w:val="000000" w:themeColor="text1"/>
          <w:sz w:val="28"/>
          <w:szCs w:val="28"/>
        </w:rPr>
      </w:pPr>
    </w:p>
    <w:p w:rsidR="00955840" w:rsidRPr="00955840" w:rsidRDefault="00955840" w:rsidP="00955840">
      <w:pPr>
        <w:jc w:val="both"/>
        <w:rPr>
          <w:b/>
          <w:color w:val="000000" w:themeColor="text1"/>
          <w:sz w:val="28"/>
          <w:szCs w:val="28"/>
        </w:rPr>
      </w:pPr>
    </w:p>
    <w:p w:rsidR="00955840" w:rsidRPr="00955840" w:rsidRDefault="00955840" w:rsidP="00955840">
      <w:pPr>
        <w:jc w:val="both"/>
        <w:rPr>
          <w:b/>
          <w:color w:val="000000" w:themeColor="text1"/>
          <w:sz w:val="28"/>
          <w:szCs w:val="28"/>
        </w:rPr>
      </w:pPr>
      <w:r w:rsidRPr="00955840">
        <w:rPr>
          <w:b/>
          <w:color w:val="000000" w:themeColor="text1"/>
          <w:sz w:val="28"/>
          <w:szCs w:val="28"/>
        </w:rPr>
        <w:t>Equalities Implications</w:t>
      </w:r>
    </w:p>
    <w:p w:rsidR="00955840" w:rsidRPr="00955840" w:rsidRDefault="00955840" w:rsidP="00955840">
      <w:pPr>
        <w:jc w:val="both"/>
        <w:rPr>
          <w:color w:val="000000" w:themeColor="text1"/>
          <w:szCs w:val="24"/>
        </w:rPr>
      </w:pPr>
    </w:p>
    <w:p w:rsidR="00955840" w:rsidRPr="00955840" w:rsidRDefault="00B725B1" w:rsidP="00955840">
      <w:pPr>
        <w:pStyle w:val="Default"/>
        <w:jc w:val="both"/>
        <w:rPr>
          <w:color w:val="000000" w:themeColor="text1"/>
          <w:lang w:eastAsia="en-US"/>
        </w:rPr>
      </w:pPr>
      <w:r w:rsidRPr="00B725B1">
        <w:rPr>
          <w:color w:val="000000" w:themeColor="text1"/>
        </w:rPr>
        <w:t>There a</w:t>
      </w:r>
      <w:r>
        <w:rPr>
          <w:color w:val="000000" w:themeColor="text1"/>
        </w:rPr>
        <w:t>re none specific to this report but to reiterate a previous report</w:t>
      </w:r>
      <w:r w:rsidR="00970907">
        <w:rPr>
          <w:color w:val="000000" w:themeColor="text1"/>
        </w:rPr>
        <w:t xml:space="preserve">, </w:t>
      </w:r>
      <w:r w:rsidR="00955840" w:rsidRPr="00955840">
        <w:rPr>
          <w:color w:val="000000" w:themeColor="text1"/>
        </w:rPr>
        <w:t xml:space="preserve">Harrow has one of the highest older people populations in London. There are over 38,000 people aged 65 plus living in Harrow and this is set to rise in the next twelve years. During this period, the number of older people with dementia in Harrow is expected to increase by an </w:t>
      </w:r>
      <w:r w:rsidR="00955840" w:rsidRPr="00955840">
        <w:rPr>
          <w:color w:val="000000" w:themeColor="text1"/>
          <w:lang w:eastAsia="en-US"/>
        </w:rPr>
        <w:t xml:space="preserve">estimated 37 per cent, from 2500 to just </w:t>
      </w:r>
      <w:proofErr w:type="gramStart"/>
      <w:r w:rsidR="00955840" w:rsidRPr="00955840">
        <w:rPr>
          <w:color w:val="000000" w:themeColor="text1"/>
          <w:lang w:eastAsia="en-US"/>
        </w:rPr>
        <w:t>under</w:t>
      </w:r>
      <w:proofErr w:type="gramEnd"/>
      <w:r w:rsidR="00955840" w:rsidRPr="00955840">
        <w:rPr>
          <w:color w:val="000000" w:themeColor="text1"/>
          <w:lang w:eastAsia="en-US"/>
        </w:rPr>
        <w:t xml:space="preserve"> 4000.</w:t>
      </w:r>
    </w:p>
    <w:p w:rsidR="00955840" w:rsidRPr="00955840" w:rsidRDefault="00955840" w:rsidP="00955840">
      <w:pPr>
        <w:pStyle w:val="Default"/>
        <w:jc w:val="both"/>
        <w:rPr>
          <w:color w:val="000000" w:themeColor="text1"/>
          <w:lang w:eastAsia="en-US"/>
        </w:rPr>
      </w:pPr>
    </w:p>
    <w:p w:rsidR="00955840" w:rsidRPr="00955840" w:rsidRDefault="00955840" w:rsidP="00955840">
      <w:pPr>
        <w:pStyle w:val="Default"/>
        <w:jc w:val="both"/>
        <w:rPr>
          <w:color w:val="000000" w:themeColor="text1"/>
        </w:rPr>
      </w:pPr>
      <w:r w:rsidRPr="00955840">
        <w:rPr>
          <w:color w:val="000000" w:themeColor="text1"/>
          <w:lang w:eastAsia="en-US"/>
        </w:rPr>
        <w:t xml:space="preserve">In addition, Harrow has an ethnically diverse older population. </w:t>
      </w:r>
      <w:r w:rsidRPr="00955840">
        <w:rPr>
          <w:color w:val="000000" w:themeColor="text1"/>
        </w:rPr>
        <w:t xml:space="preserve">As Harrow’s population ages, the proportion of people in older age groups who are from Black and Minority Ethnic Groups will increase. </w:t>
      </w:r>
    </w:p>
    <w:p w:rsidR="00955840" w:rsidRPr="00955840" w:rsidRDefault="00955840" w:rsidP="00955840">
      <w:pPr>
        <w:pStyle w:val="Default"/>
        <w:jc w:val="both"/>
        <w:rPr>
          <w:color w:val="000000" w:themeColor="text1"/>
        </w:rPr>
      </w:pPr>
    </w:p>
    <w:p w:rsidR="00955840" w:rsidRPr="00955840" w:rsidRDefault="00955840" w:rsidP="00955840">
      <w:pPr>
        <w:pStyle w:val="Default"/>
        <w:jc w:val="both"/>
        <w:rPr>
          <w:color w:val="000000" w:themeColor="text1"/>
        </w:rPr>
      </w:pPr>
      <w:r w:rsidRPr="00955840">
        <w:rPr>
          <w:color w:val="000000" w:themeColor="text1"/>
        </w:rPr>
        <w:t>These factors will provide unique challenges for Harrow, in terms of meeting the needs of people with dementia.</w:t>
      </w:r>
    </w:p>
    <w:p w:rsidR="00955840" w:rsidRPr="00955840" w:rsidRDefault="00955840" w:rsidP="00955840">
      <w:pPr>
        <w:pStyle w:val="Default"/>
        <w:jc w:val="both"/>
        <w:rPr>
          <w:color w:val="000000" w:themeColor="text1"/>
        </w:rPr>
      </w:pPr>
    </w:p>
    <w:p w:rsidR="00955840" w:rsidRPr="00955840" w:rsidRDefault="00955840" w:rsidP="00955840">
      <w:pPr>
        <w:jc w:val="both"/>
        <w:rPr>
          <w:color w:val="000000" w:themeColor="text1"/>
          <w:szCs w:val="24"/>
        </w:rPr>
      </w:pPr>
    </w:p>
    <w:p w:rsidR="00955840" w:rsidRPr="00955840" w:rsidRDefault="00955840" w:rsidP="00955840">
      <w:pPr>
        <w:jc w:val="both"/>
        <w:rPr>
          <w:b/>
          <w:color w:val="000000" w:themeColor="text1"/>
          <w:sz w:val="28"/>
          <w:szCs w:val="28"/>
        </w:rPr>
      </w:pPr>
      <w:r w:rsidRPr="00955840">
        <w:rPr>
          <w:b/>
          <w:color w:val="000000" w:themeColor="text1"/>
          <w:sz w:val="28"/>
          <w:szCs w:val="28"/>
        </w:rPr>
        <w:t>Council Priorities</w:t>
      </w:r>
    </w:p>
    <w:p w:rsidR="00955840" w:rsidRPr="00955840" w:rsidRDefault="00955840" w:rsidP="00955840">
      <w:pPr>
        <w:jc w:val="both"/>
        <w:rPr>
          <w:b/>
          <w:color w:val="000000" w:themeColor="text1"/>
          <w:sz w:val="28"/>
          <w:szCs w:val="28"/>
        </w:rPr>
      </w:pPr>
    </w:p>
    <w:p w:rsidR="00955840" w:rsidRPr="00955840" w:rsidRDefault="00955840" w:rsidP="00955840">
      <w:pPr>
        <w:numPr>
          <w:ilvl w:val="0"/>
          <w:numId w:val="41"/>
        </w:numPr>
        <w:jc w:val="both"/>
        <w:rPr>
          <w:color w:val="000000" w:themeColor="text1"/>
        </w:rPr>
      </w:pPr>
      <w:r w:rsidRPr="00955840">
        <w:rPr>
          <w:color w:val="000000" w:themeColor="text1"/>
        </w:rPr>
        <w:t>Protect the most vulnerable and support families</w:t>
      </w:r>
    </w:p>
    <w:p w:rsidR="00955840" w:rsidRDefault="00955840" w:rsidP="00955840">
      <w:pPr>
        <w:rPr>
          <w:color w:val="000000" w:themeColor="text1"/>
        </w:rPr>
      </w:pPr>
    </w:p>
    <w:p w:rsidR="007629B6" w:rsidRPr="00955840" w:rsidRDefault="007629B6" w:rsidP="00955840">
      <w:pPr>
        <w:rPr>
          <w:color w:val="000000" w:themeColor="text1"/>
        </w:rPr>
      </w:pPr>
    </w:p>
    <w:p w:rsidR="00955840" w:rsidRPr="00955840" w:rsidRDefault="00955840" w:rsidP="00955840">
      <w:pPr>
        <w:pStyle w:val="Heading2"/>
        <w:rPr>
          <w:color w:val="000000" w:themeColor="text1"/>
        </w:rPr>
      </w:pPr>
      <w:r w:rsidRPr="00955840">
        <w:rPr>
          <w:color w:val="000000" w:themeColor="text1"/>
        </w:rPr>
        <w:t>Why a change is needed</w:t>
      </w:r>
    </w:p>
    <w:p w:rsidR="00955840" w:rsidRPr="00955840" w:rsidRDefault="00955840" w:rsidP="00955840">
      <w:pPr>
        <w:rPr>
          <w:color w:val="000000" w:themeColor="text1"/>
        </w:rPr>
      </w:pPr>
    </w:p>
    <w:p w:rsidR="00955840" w:rsidRPr="00955840" w:rsidRDefault="00955840" w:rsidP="00955840">
      <w:pPr>
        <w:rPr>
          <w:color w:val="000000" w:themeColor="text1"/>
        </w:rPr>
      </w:pPr>
      <w:r w:rsidRPr="00955840">
        <w:rPr>
          <w:color w:val="000000" w:themeColor="text1"/>
        </w:rPr>
        <w:t>N/A</w:t>
      </w:r>
    </w:p>
    <w:p w:rsidR="00955840" w:rsidRPr="00955840" w:rsidRDefault="00955840" w:rsidP="00955840">
      <w:pPr>
        <w:rPr>
          <w:color w:val="000000" w:themeColor="text1"/>
        </w:rPr>
      </w:pPr>
    </w:p>
    <w:p w:rsidR="00955840" w:rsidRPr="00955840" w:rsidRDefault="00955840" w:rsidP="00955840">
      <w:pPr>
        <w:pStyle w:val="Heading2"/>
        <w:rPr>
          <w:color w:val="000000" w:themeColor="text1"/>
        </w:rPr>
      </w:pPr>
      <w:r w:rsidRPr="00955840">
        <w:rPr>
          <w:color w:val="000000" w:themeColor="text1"/>
        </w:rPr>
        <w:t>Implications of the Recommendation</w:t>
      </w:r>
    </w:p>
    <w:p w:rsidR="00955840" w:rsidRPr="00955840" w:rsidRDefault="00955840" w:rsidP="00955840">
      <w:pPr>
        <w:rPr>
          <w:color w:val="000000" w:themeColor="text1"/>
        </w:rPr>
      </w:pPr>
    </w:p>
    <w:p w:rsidR="00955840" w:rsidRPr="00955840" w:rsidRDefault="00955840" w:rsidP="00955840">
      <w:pPr>
        <w:rPr>
          <w:color w:val="000000" w:themeColor="text1"/>
        </w:rPr>
      </w:pPr>
      <w:r w:rsidRPr="00955840">
        <w:rPr>
          <w:color w:val="000000" w:themeColor="text1"/>
        </w:rPr>
        <w:t>N/A</w:t>
      </w:r>
    </w:p>
    <w:p w:rsidR="00955840" w:rsidRPr="00955840" w:rsidRDefault="00955840" w:rsidP="00955840">
      <w:pPr>
        <w:rPr>
          <w:color w:val="000000" w:themeColor="text1"/>
        </w:rPr>
      </w:pPr>
    </w:p>
    <w:p w:rsidR="00955840" w:rsidRPr="00955840" w:rsidRDefault="00955840" w:rsidP="00955840">
      <w:pPr>
        <w:pStyle w:val="Heading2"/>
        <w:rPr>
          <w:color w:val="000000" w:themeColor="text1"/>
        </w:rPr>
      </w:pPr>
      <w:r w:rsidRPr="00955840">
        <w:rPr>
          <w:color w:val="000000" w:themeColor="text1"/>
        </w:rPr>
        <w:t>Ward Councillors’ comments</w:t>
      </w:r>
    </w:p>
    <w:p w:rsidR="00955840" w:rsidRPr="00955840" w:rsidRDefault="00955840" w:rsidP="00955840">
      <w:pPr>
        <w:rPr>
          <w:color w:val="000000" w:themeColor="text1"/>
        </w:rPr>
      </w:pPr>
    </w:p>
    <w:p w:rsidR="00955840" w:rsidRPr="00955840" w:rsidRDefault="007629B6" w:rsidP="00955840">
      <w:pPr>
        <w:rPr>
          <w:color w:val="000000" w:themeColor="text1"/>
        </w:rPr>
      </w:pPr>
      <w:r>
        <w:rPr>
          <w:color w:val="000000" w:themeColor="text1"/>
        </w:rPr>
        <w:t>N/A</w:t>
      </w:r>
    </w:p>
    <w:p w:rsidR="00955840" w:rsidRPr="00955840" w:rsidRDefault="00955840" w:rsidP="00955840">
      <w:pPr>
        <w:rPr>
          <w:color w:val="000000" w:themeColor="text1"/>
        </w:rPr>
      </w:pPr>
    </w:p>
    <w:p w:rsidR="00955840" w:rsidRPr="00955840" w:rsidRDefault="00955840" w:rsidP="00955840">
      <w:pPr>
        <w:pStyle w:val="Heading2"/>
        <w:rPr>
          <w:color w:val="000000" w:themeColor="text1"/>
        </w:rPr>
      </w:pPr>
      <w:r w:rsidRPr="00955840">
        <w:rPr>
          <w:color w:val="000000" w:themeColor="text1"/>
        </w:rPr>
        <w:t>Performance Issues</w:t>
      </w:r>
    </w:p>
    <w:p w:rsidR="00955840" w:rsidRPr="00955840" w:rsidRDefault="00955840" w:rsidP="00955840">
      <w:pPr>
        <w:pStyle w:val="Heading1"/>
        <w:rPr>
          <w:rFonts w:ascii="Arial" w:hAnsi="Arial"/>
          <w:color w:val="000000" w:themeColor="text1"/>
          <w:sz w:val="24"/>
          <w:szCs w:val="24"/>
        </w:rPr>
      </w:pPr>
    </w:p>
    <w:p w:rsidR="00955840" w:rsidRPr="00955840" w:rsidRDefault="00955840" w:rsidP="00955840">
      <w:pPr>
        <w:rPr>
          <w:color w:val="000000" w:themeColor="text1"/>
        </w:rPr>
      </w:pPr>
      <w:r w:rsidRPr="00955840">
        <w:rPr>
          <w:color w:val="000000" w:themeColor="text1"/>
        </w:rPr>
        <w:t>N/A</w:t>
      </w:r>
    </w:p>
    <w:p w:rsidR="00955840" w:rsidRPr="00955840" w:rsidRDefault="00955840" w:rsidP="00955840">
      <w:pPr>
        <w:rPr>
          <w:color w:val="000000" w:themeColor="text1"/>
        </w:rPr>
      </w:pPr>
    </w:p>
    <w:p w:rsidR="00955840" w:rsidRPr="00955840" w:rsidRDefault="00955840" w:rsidP="00955840">
      <w:pPr>
        <w:pStyle w:val="Heading2"/>
        <w:keepNext/>
        <w:rPr>
          <w:color w:val="000000" w:themeColor="text1"/>
        </w:rPr>
      </w:pPr>
      <w:r w:rsidRPr="00955840">
        <w:rPr>
          <w:color w:val="000000" w:themeColor="text1"/>
        </w:rPr>
        <w:t>Environmental Impact</w:t>
      </w:r>
    </w:p>
    <w:p w:rsidR="00955840" w:rsidRPr="00955840" w:rsidRDefault="00955840" w:rsidP="00955840">
      <w:pPr>
        <w:rPr>
          <w:color w:val="000000" w:themeColor="text1"/>
        </w:rPr>
      </w:pPr>
    </w:p>
    <w:p w:rsidR="00955840" w:rsidRPr="00955840" w:rsidRDefault="00955840" w:rsidP="00955840">
      <w:pPr>
        <w:rPr>
          <w:color w:val="000000" w:themeColor="text1"/>
        </w:rPr>
      </w:pPr>
      <w:r w:rsidRPr="00955840">
        <w:rPr>
          <w:color w:val="000000" w:themeColor="text1"/>
        </w:rPr>
        <w:t>N/A</w:t>
      </w:r>
    </w:p>
    <w:p w:rsidR="00955840" w:rsidRPr="00955840" w:rsidRDefault="00955840" w:rsidP="00955840">
      <w:pPr>
        <w:rPr>
          <w:color w:val="000000" w:themeColor="text1"/>
          <w:highlight w:val="yellow"/>
        </w:rPr>
      </w:pPr>
    </w:p>
    <w:p w:rsidR="00955840" w:rsidRPr="00955840" w:rsidRDefault="00955840" w:rsidP="00955840">
      <w:pPr>
        <w:pStyle w:val="Heading2"/>
        <w:keepNext/>
        <w:rPr>
          <w:color w:val="000000" w:themeColor="text1"/>
        </w:rPr>
      </w:pPr>
      <w:r w:rsidRPr="00955840">
        <w:rPr>
          <w:color w:val="000000" w:themeColor="text1"/>
        </w:rPr>
        <w:t>Risk Management Implications</w:t>
      </w:r>
    </w:p>
    <w:p w:rsidR="00955840" w:rsidRDefault="00955840" w:rsidP="00955840">
      <w:pPr>
        <w:pStyle w:val="Heading1"/>
        <w:keepNext/>
        <w:rPr>
          <w:b/>
          <w:color w:val="000000" w:themeColor="text1"/>
          <w:sz w:val="24"/>
          <w:szCs w:val="24"/>
        </w:rPr>
      </w:pPr>
    </w:p>
    <w:p w:rsidR="007629B6" w:rsidRPr="007629B6" w:rsidRDefault="007629B6" w:rsidP="007629B6">
      <w:r>
        <w:t>N/A</w:t>
      </w:r>
    </w:p>
    <w:p w:rsidR="00955840" w:rsidRPr="00955840" w:rsidRDefault="00955840" w:rsidP="00955840">
      <w:pPr>
        <w:pStyle w:val="Heading2"/>
        <w:keepNext/>
        <w:rPr>
          <w:color w:val="000000" w:themeColor="text1"/>
        </w:rPr>
      </w:pPr>
    </w:p>
    <w:p w:rsidR="00955840" w:rsidRPr="00955840" w:rsidRDefault="00955840" w:rsidP="00955840">
      <w:pPr>
        <w:pStyle w:val="Heading2"/>
        <w:keepNext/>
        <w:rPr>
          <w:color w:val="000000" w:themeColor="text1"/>
        </w:rPr>
      </w:pPr>
      <w:r w:rsidRPr="00955840">
        <w:rPr>
          <w:color w:val="000000" w:themeColor="text1"/>
        </w:rPr>
        <w:t xml:space="preserve">Equalities implications / Public Sector Equality Duty  </w:t>
      </w:r>
    </w:p>
    <w:p w:rsidR="00955840" w:rsidRPr="00955840" w:rsidRDefault="00955840" w:rsidP="00955840">
      <w:pPr>
        <w:keepNext/>
        <w:rPr>
          <w:color w:val="000000" w:themeColor="text1"/>
        </w:rPr>
      </w:pPr>
    </w:p>
    <w:p w:rsidR="00955840" w:rsidRPr="00955840" w:rsidRDefault="00955840" w:rsidP="00955840">
      <w:pPr>
        <w:ind w:right="141"/>
        <w:rPr>
          <w:color w:val="000000" w:themeColor="text1"/>
        </w:rPr>
      </w:pPr>
      <w:r w:rsidRPr="00955840">
        <w:rPr>
          <w:color w:val="000000" w:themeColor="text1"/>
        </w:rPr>
        <w:t>N/A</w:t>
      </w:r>
    </w:p>
    <w:p w:rsidR="00955840" w:rsidRPr="00955840" w:rsidRDefault="00955840" w:rsidP="00955840">
      <w:pPr>
        <w:ind w:right="141"/>
        <w:rPr>
          <w:rFonts w:cs="Arial"/>
          <w:color w:val="000000" w:themeColor="text1"/>
          <w:szCs w:val="24"/>
          <w:lang w:val="en-US"/>
        </w:rPr>
      </w:pPr>
    </w:p>
    <w:p w:rsidR="00955840" w:rsidRPr="00955840" w:rsidRDefault="00955840" w:rsidP="00955840">
      <w:pPr>
        <w:ind w:right="141"/>
        <w:rPr>
          <w:rFonts w:cs="Arial"/>
          <w:color w:val="000000" w:themeColor="text1"/>
          <w:szCs w:val="24"/>
          <w:lang w:val="en-US"/>
        </w:rPr>
      </w:pPr>
    </w:p>
    <w:p w:rsidR="00955840" w:rsidRPr="00955840" w:rsidRDefault="00955840" w:rsidP="00955840">
      <w:pPr>
        <w:pStyle w:val="Heading2"/>
        <w:rPr>
          <w:color w:val="000000" w:themeColor="text1"/>
        </w:rPr>
      </w:pPr>
      <w:r w:rsidRPr="00955840">
        <w:rPr>
          <w:color w:val="000000" w:themeColor="text1"/>
        </w:rPr>
        <w:t>Council Priorities</w:t>
      </w:r>
    </w:p>
    <w:p w:rsidR="00955840" w:rsidRPr="00955840" w:rsidRDefault="00955840" w:rsidP="00955840">
      <w:pPr>
        <w:keepNext/>
        <w:ind w:right="144"/>
        <w:rPr>
          <w:rFonts w:cs="Arial"/>
          <w:color w:val="000000" w:themeColor="text1"/>
          <w:szCs w:val="24"/>
          <w:lang w:val="en-US"/>
        </w:rPr>
      </w:pPr>
    </w:p>
    <w:p w:rsidR="00955840" w:rsidRPr="00955840" w:rsidRDefault="00955840" w:rsidP="00955840">
      <w:pPr>
        <w:pStyle w:val="Heading1"/>
        <w:keepNext/>
        <w:rPr>
          <w:color w:val="000000" w:themeColor="text1"/>
        </w:rPr>
      </w:pPr>
      <w:r w:rsidRPr="00955840">
        <w:rPr>
          <w:color w:val="000000" w:themeColor="text1"/>
        </w:rPr>
        <w:t>Section 3 - Statutory Officer Clearance</w:t>
      </w:r>
    </w:p>
    <w:p w:rsidR="00925AAE" w:rsidRPr="001E2C54" w:rsidRDefault="007629B6" w:rsidP="00925AAE">
      <w:pPr>
        <w:keepNext/>
        <w:rPr>
          <w:rFonts w:cs="Arial"/>
        </w:rPr>
      </w:pPr>
      <w:r>
        <w:rPr>
          <w:rFonts w:ascii="Arial Black" w:hAnsi="Arial Black"/>
          <w:color w:val="000000" w:themeColor="text1"/>
          <w:szCs w:val="24"/>
        </w:rPr>
        <w:t>R</w:t>
      </w:r>
      <w:r w:rsidR="00955840" w:rsidRPr="00955840">
        <w:rPr>
          <w:rFonts w:ascii="Arial Black" w:hAnsi="Arial Black"/>
          <w:color w:val="000000" w:themeColor="text1"/>
          <w:szCs w:val="24"/>
        </w:rPr>
        <w:t xml:space="preserve">eport is for </w:t>
      </w:r>
      <w:r w:rsidR="00955840" w:rsidRPr="00955840">
        <w:rPr>
          <w:rFonts w:ascii="Arial Black" w:hAnsi="Arial Black"/>
          <w:color w:val="000000" w:themeColor="text1"/>
          <w:szCs w:val="24"/>
          <w:u w:val="single"/>
        </w:rPr>
        <w:t>information only</w:t>
      </w:r>
      <w:r>
        <w:rPr>
          <w:rFonts w:ascii="Arial Black" w:hAnsi="Arial Black"/>
          <w:color w:val="000000" w:themeColor="text1"/>
          <w:szCs w:val="24"/>
        </w:rPr>
        <w:t>.</w:t>
      </w:r>
      <w:r w:rsidR="00925AAE">
        <w:rPr>
          <w:rFonts w:ascii="Arial Black" w:hAnsi="Arial Black"/>
          <w:color w:val="000000" w:themeColor="text1"/>
          <w:szCs w:val="24"/>
        </w:rPr>
        <w:t xml:space="preserve">  </w:t>
      </w:r>
      <w:bookmarkStart w:id="0" w:name="_GoBack"/>
      <w:bookmarkEnd w:id="0"/>
      <w:r w:rsidR="00925AAE" w:rsidRPr="001E2C54">
        <w:rPr>
          <w:rFonts w:cs="Arial"/>
        </w:rPr>
        <w:t xml:space="preserve">Statutory clearances not </w:t>
      </w:r>
      <w:r w:rsidR="00925AAE">
        <w:rPr>
          <w:rFonts w:cs="Arial"/>
        </w:rPr>
        <w:t>necessary</w:t>
      </w:r>
      <w:r w:rsidR="00925AAE" w:rsidRPr="001E2C54">
        <w:rPr>
          <w:rFonts w:cs="Arial"/>
        </w:rPr>
        <w:t>.</w:t>
      </w:r>
    </w:p>
    <w:p w:rsidR="00955840" w:rsidRPr="00955840" w:rsidRDefault="00955840" w:rsidP="00955840">
      <w:pPr>
        <w:keepNext/>
        <w:rPr>
          <w:rFonts w:ascii="Arial Black" w:hAnsi="Arial Black" w:cs="Arial"/>
          <w:color w:val="000000" w:themeColor="text1"/>
          <w:szCs w:val="24"/>
        </w:rPr>
      </w:pPr>
    </w:p>
    <w:p w:rsidR="00955840" w:rsidRPr="00955840" w:rsidRDefault="00955840" w:rsidP="00955840">
      <w:pPr>
        <w:rPr>
          <w:color w:val="000000" w:themeColor="text1"/>
        </w:rPr>
      </w:pPr>
    </w:p>
    <w:p w:rsidR="00955840" w:rsidRPr="00955840" w:rsidRDefault="00955840" w:rsidP="00955840">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7"/>
        <w:gridCol w:w="383"/>
        <w:gridCol w:w="234"/>
        <w:gridCol w:w="3591"/>
      </w:tblGrid>
      <w:tr w:rsidR="00955840" w:rsidRPr="00955840" w:rsidTr="004430B7">
        <w:tc>
          <w:tcPr>
            <w:tcW w:w="4752" w:type="dxa"/>
            <w:tcBorders>
              <w:bottom w:val="nil"/>
              <w:right w:val="nil"/>
            </w:tcBorders>
          </w:tcPr>
          <w:p w:rsidR="00955840" w:rsidRPr="00955840" w:rsidRDefault="00955840" w:rsidP="004430B7">
            <w:pPr>
              <w:pStyle w:val="Infotext"/>
              <w:rPr>
                <w:color w:val="000000" w:themeColor="text1"/>
              </w:rPr>
            </w:pPr>
          </w:p>
          <w:p w:rsidR="00955840" w:rsidRPr="00955840" w:rsidRDefault="00955840" w:rsidP="004430B7">
            <w:pPr>
              <w:pStyle w:val="Infotext"/>
              <w:rPr>
                <w:color w:val="000000" w:themeColor="text1"/>
              </w:rPr>
            </w:pPr>
          </w:p>
        </w:tc>
        <w:tc>
          <w:tcPr>
            <w:tcW w:w="387" w:type="dxa"/>
            <w:tcBorders>
              <w:left w:val="nil"/>
              <w:right w:val="nil"/>
            </w:tcBorders>
          </w:tcPr>
          <w:p w:rsidR="00955840" w:rsidRPr="00955840" w:rsidRDefault="00955840" w:rsidP="004430B7">
            <w:pPr>
              <w:pStyle w:val="Infotext"/>
              <w:rPr>
                <w:color w:val="000000" w:themeColor="text1"/>
              </w:rPr>
            </w:pPr>
          </w:p>
        </w:tc>
        <w:tc>
          <w:tcPr>
            <w:tcW w:w="236" w:type="dxa"/>
            <w:tcBorders>
              <w:left w:val="nil"/>
              <w:bottom w:val="nil"/>
              <w:right w:val="nil"/>
            </w:tcBorders>
          </w:tcPr>
          <w:p w:rsidR="00955840" w:rsidRPr="00955840" w:rsidRDefault="00955840" w:rsidP="004430B7">
            <w:pPr>
              <w:pStyle w:val="Infotext"/>
              <w:rPr>
                <w:color w:val="000000" w:themeColor="text1"/>
              </w:rPr>
            </w:pPr>
          </w:p>
        </w:tc>
        <w:tc>
          <w:tcPr>
            <w:tcW w:w="3890" w:type="dxa"/>
            <w:tcBorders>
              <w:left w:val="nil"/>
              <w:bottom w:val="nil"/>
            </w:tcBorders>
          </w:tcPr>
          <w:p w:rsidR="00955840" w:rsidRPr="00955840" w:rsidRDefault="00955840" w:rsidP="004430B7">
            <w:pPr>
              <w:pStyle w:val="Infotext"/>
              <w:rPr>
                <w:color w:val="000000" w:themeColor="text1"/>
              </w:rPr>
            </w:pPr>
          </w:p>
          <w:p w:rsidR="00955840" w:rsidRPr="00955840" w:rsidRDefault="00955840" w:rsidP="004430B7">
            <w:pPr>
              <w:pStyle w:val="Infotext"/>
              <w:rPr>
                <w:color w:val="000000" w:themeColor="text1"/>
              </w:rPr>
            </w:pPr>
          </w:p>
        </w:tc>
      </w:tr>
      <w:tr w:rsidR="00955840" w:rsidRPr="00955840" w:rsidTr="004430B7">
        <w:tc>
          <w:tcPr>
            <w:tcW w:w="4752" w:type="dxa"/>
            <w:tcBorders>
              <w:top w:val="nil"/>
              <w:bottom w:val="nil"/>
            </w:tcBorders>
          </w:tcPr>
          <w:p w:rsidR="00955840" w:rsidRPr="00955840" w:rsidRDefault="00955840" w:rsidP="00925AAE">
            <w:pPr>
              <w:pStyle w:val="Infotext"/>
              <w:rPr>
                <w:color w:val="000000" w:themeColor="text1"/>
              </w:rPr>
            </w:pPr>
            <w:r w:rsidRPr="00955840">
              <w:rPr>
                <w:color w:val="000000" w:themeColor="text1"/>
              </w:rPr>
              <w:t xml:space="preserve">Name:  </w:t>
            </w:r>
            <w:r w:rsidR="00925AAE">
              <w:rPr>
                <w:color w:val="000000" w:themeColor="text1"/>
              </w:rPr>
              <w:t>Paul Hewitt</w:t>
            </w:r>
          </w:p>
        </w:tc>
        <w:tc>
          <w:tcPr>
            <w:tcW w:w="387" w:type="dxa"/>
            <w:tcBorders>
              <w:bottom w:val="single" w:sz="4" w:space="0" w:color="auto"/>
            </w:tcBorders>
          </w:tcPr>
          <w:p w:rsidR="00955840" w:rsidRPr="00955840" w:rsidRDefault="00925AAE" w:rsidP="004430B7">
            <w:pPr>
              <w:pStyle w:val="Infotext"/>
              <w:rPr>
                <w:color w:val="000000" w:themeColor="text1"/>
              </w:rPr>
            </w:pPr>
            <w:r>
              <w:rPr>
                <w:color w:val="000000" w:themeColor="text1"/>
              </w:rPr>
              <w:t>x</w:t>
            </w:r>
          </w:p>
        </w:tc>
        <w:tc>
          <w:tcPr>
            <w:tcW w:w="236" w:type="dxa"/>
            <w:tcBorders>
              <w:top w:val="nil"/>
              <w:bottom w:val="nil"/>
              <w:right w:val="nil"/>
            </w:tcBorders>
          </w:tcPr>
          <w:p w:rsidR="00955840" w:rsidRPr="00955840" w:rsidRDefault="00955840" w:rsidP="004430B7">
            <w:pPr>
              <w:pStyle w:val="Infotext"/>
              <w:rPr>
                <w:color w:val="000000" w:themeColor="text1"/>
              </w:rPr>
            </w:pPr>
          </w:p>
        </w:tc>
        <w:tc>
          <w:tcPr>
            <w:tcW w:w="3890" w:type="dxa"/>
            <w:tcBorders>
              <w:top w:val="nil"/>
              <w:left w:val="nil"/>
              <w:bottom w:val="nil"/>
            </w:tcBorders>
          </w:tcPr>
          <w:p w:rsidR="00955840" w:rsidRPr="00955840" w:rsidRDefault="00955840" w:rsidP="004430B7">
            <w:pPr>
              <w:pStyle w:val="Infotext"/>
              <w:rPr>
                <w:color w:val="000000" w:themeColor="text1"/>
              </w:rPr>
            </w:pPr>
            <w:r w:rsidRPr="00955840">
              <w:rPr>
                <w:color w:val="000000" w:themeColor="text1"/>
              </w:rPr>
              <w:t>Corporate Director</w:t>
            </w:r>
            <w:r w:rsidR="00925AAE">
              <w:rPr>
                <w:color w:val="000000" w:themeColor="text1"/>
              </w:rPr>
              <w:t xml:space="preserve"> of People</w:t>
            </w:r>
          </w:p>
        </w:tc>
      </w:tr>
      <w:tr w:rsidR="00955840" w:rsidRPr="00955840" w:rsidTr="004430B7">
        <w:tc>
          <w:tcPr>
            <w:tcW w:w="4752" w:type="dxa"/>
            <w:tcBorders>
              <w:top w:val="nil"/>
              <w:right w:val="nil"/>
            </w:tcBorders>
          </w:tcPr>
          <w:p w:rsidR="00955840" w:rsidRPr="00955840" w:rsidRDefault="00955840" w:rsidP="004430B7">
            <w:pPr>
              <w:pStyle w:val="Infotext"/>
              <w:rPr>
                <w:color w:val="000000" w:themeColor="text1"/>
              </w:rPr>
            </w:pPr>
            <w:r w:rsidRPr="00955840">
              <w:rPr>
                <w:color w:val="000000" w:themeColor="text1"/>
              </w:rPr>
              <w:t xml:space="preserve"> </w:t>
            </w:r>
          </w:p>
          <w:p w:rsidR="00955840" w:rsidRPr="00955840" w:rsidRDefault="00955840" w:rsidP="004430B7">
            <w:pPr>
              <w:pStyle w:val="Infotext"/>
              <w:rPr>
                <w:color w:val="000000" w:themeColor="text1"/>
              </w:rPr>
            </w:pPr>
            <w:r w:rsidRPr="00955840">
              <w:rPr>
                <w:color w:val="000000" w:themeColor="text1"/>
              </w:rPr>
              <w:t xml:space="preserve">Date:  </w:t>
            </w:r>
            <w:r w:rsidR="00925AAE">
              <w:rPr>
                <w:color w:val="000000" w:themeColor="text1"/>
              </w:rPr>
              <w:t>23 October  2019</w:t>
            </w:r>
          </w:p>
        </w:tc>
        <w:tc>
          <w:tcPr>
            <w:tcW w:w="387" w:type="dxa"/>
            <w:tcBorders>
              <w:left w:val="nil"/>
              <w:bottom w:val="single" w:sz="4" w:space="0" w:color="auto"/>
              <w:right w:val="nil"/>
            </w:tcBorders>
          </w:tcPr>
          <w:p w:rsidR="00955840" w:rsidRPr="00955840" w:rsidRDefault="00955840" w:rsidP="004430B7">
            <w:pPr>
              <w:pStyle w:val="Infotext"/>
              <w:rPr>
                <w:color w:val="000000" w:themeColor="text1"/>
              </w:rPr>
            </w:pPr>
          </w:p>
        </w:tc>
        <w:tc>
          <w:tcPr>
            <w:tcW w:w="236" w:type="dxa"/>
            <w:tcBorders>
              <w:top w:val="nil"/>
              <w:left w:val="nil"/>
              <w:right w:val="nil"/>
            </w:tcBorders>
          </w:tcPr>
          <w:p w:rsidR="00955840" w:rsidRPr="00955840" w:rsidRDefault="00955840" w:rsidP="004430B7">
            <w:pPr>
              <w:pStyle w:val="Infotext"/>
              <w:rPr>
                <w:color w:val="000000" w:themeColor="text1"/>
              </w:rPr>
            </w:pPr>
          </w:p>
        </w:tc>
        <w:tc>
          <w:tcPr>
            <w:tcW w:w="3890" w:type="dxa"/>
            <w:tcBorders>
              <w:top w:val="nil"/>
              <w:left w:val="nil"/>
            </w:tcBorders>
          </w:tcPr>
          <w:p w:rsidR="00955840" w:rsidRPr="00955840" w:rsidRDefault="00955840" w:rsidP="004430B7">
            <w:pPr>
              <w:pStyle w:val="Infotext"/>
              <w:rPr>
                <w:color w:val="000000" w:themeColor="text1"/>
              </w:rPr>
            </w:pPr>
          </w:p>
        </w:tc>
      </w:tr>
    </w:tbl>
    <w:p w:rsidR="00955840" w:rsidRPr="00955840" w:rsidRDefault="00955840" w:rsidP="00955840">
      <w:pPr>
        <w:rPr>
          <w:color w:val="000000" w:themeColor="text1"/>
        </w:rPr>
      </w:pPr>
    </w:p>
    <w:p w:rsidR="00955840" w:rsidRPr="00955840" w:rsidRDefault="00955840" w:rsidP="00955840">
      <w:pPr>
        <w:pStyle w:val="Heading1"/>
        <w:keepNext/>
        <w:rPr>
          <w:color w:val="000000" w:themeColor="text1"/>
          <w:sz w:val="24"/>
          <w:szCs w:val="24"/>
        </w:rPr>
      </w:pPr>
    </w:p>
    <w:p w:rsidR="00955840" w:rsidRPr="00955840" w:rsidRDefault="00955840" w:rsidP="00955840">
      <w:pPr>
        <w:pStyle w:val="Heading1"/>
        <w:keepNext/>
        <w:rPr>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955840" w:rsidRPr="00955840" w:rsidTr="004430B7">
        <w:trPr>
          <w:trHeight w:val="965"/>
        </w:trPr>
        <w:tc>
          <w:tcPr>
            <w:tcW w:w="3025" w:type="pct"/>
            <w:tcBorders>
              <w:right w:val="nil"/>
            </w:tcBorders>
          </w:tcPr>
          <w:p w:rsidR="00955840" w:rsidRPr="00955840" w:rsidRDefault="00955840" w:rsidP="004430B7">
            <w:pPr>
              <w:pStyle w:val="Infotext"/>
              <w:rPr>
                <w:rFonts w:ascii="Arial Black" w:hAnsi="Arial Black"/>
                <w:color w:val="000000" w:themeColor="text1"/>
              </w:rPr>
            </w:pPr>
            <w:r w:rsidRPr="00955840">
              <w:rPr>
                <w:rFonts w:ascii="Arial Black" w:hAnsi="Arial Black"/>
                <w:color w:val="000000" w:themeColor="text1"/>
              </w:rPr>
              <w:t>MANDATORY</w:t>
            </w:r>
          </w:p>
          <w:p w:rsidR="00955840" w:rsidRPr="00955840" w:rsidRDefault="00955840" w:rsidP="004430B7">
            <w:pPr>
              <w:pStyle w:val="Infotext"/>
              <w:rPr>
                <w:rFonts w:ascii="Arial Black" w:hAnsi="Arial Black"/>
                <w:color w:val="000000" w:themeColor="text1"/>
              </w:rPr>
            </w:pPr>
            <w:r w:rsidRPr="00955840">
              <w:rPr>
                <w:rFonts w:ascii="Arial Black" w:hAnsi="Arial Black"/>
                <w:color w:val="000000" w:themeColor="text1"/>
              </w:rPr>
              <w:t>Ward Councillors notified:</w:t>
            </w:r>
          </w:p>
          <w:p w:rsidR="00955840" w:rsidRPr="00955840" w:rsidRDefault="00955840" w:rsidP="004430B7">
            <w:pPr>
              <w:pStyle w:val="Infotext"/>
              <w:rPr>
                <w:color w:val="000000" w:themeColor="text1"/>
              </w:rPr>
            </w:pPr>
          </w:p>
        </w:tc>
        <w:tc>
          <w:tcPr>
            <w:tcW w:w="1975" w:type="pct"/>
            <w:tcBorders>
              <w:left w:val="nil"/>
            </w:tcBorders>
          </w:tcPr>
          <w:p w:rsidR="00955840" w:rsidRPr="00955840" w:rsidRDefault="00955840" w:rsidP="004430B7">
            <w:pPr>
              <w:pStyle w:val="Infotext"/>
              <w:rPr>
                <w:color w:val="000000" w:themeColor="text1"/>
              </w:rPr>
            </w:pPr>
          </w:p>
          <w:p w:rsidR="00955840" w:rsidRPr="00955840" w:rsidRDefault="00955840" w:rsidP="004430B7">
            <w:pPr>
              <w:pStyle w:val="Infotext"/>
              <w:spacing w:before="120"/>
              <w:rPr>
                <w:b/>
                <w:color w:val="000000" w:themeColor="text1"/>
              </w:rPr>
            </w:pPr>
            <w:r w:rsidRPr="00955840">
              <w:rPr>
                <w:b/>
                <w:color w:val="000000" w:themeColor="text1"/>
              </w:rPr>
              <w:t xml:space="preserve">NO </w:t>
            </w:r>
          </w:p>
          <w:p w:rsidR="00955840" w:rsidRPr="00955840" w:rsidRDefault="00955840" w:rsidP="00925AAE">
            <w:pPr>
              <w:pStyle w:val="Infotext"/>
              <w:rPr>
                <w:i/>
                <w:color w:val="000000" w:themeColor="text1"/>
                <w:sz w:val="24"/>
                <w:szCs w:val="24"/>
              </w:rPr>
            </w:pPr>
          </w:p>
        </w:tc>
      </w:tr>
    </w:tbl>
    <w:p w:rsidR="00955840" w:rsidRPr="00955840" w:rsidRDefault="00955840" w:rsidP="00955840">
      <w:pPr>
        <w:pStyle w:val="Heading1"/>
        <w:keepNext/>
        <w:rPr>
          <w:color w:val="000000" w:themeColor="text1"/>
          <w:sz w:val="24"/>
          <w:szCs w:val="24"/>
        </w:rPr>
      </w:pPr>
    </w:p>
    <w:p w:rsidR="00955840" w:rsidRPr="00955840" w:rsidRDefault="00955840" w:rsidP="00955840">
      <w:pPr>
        <w:rPr>
          <w:color w:val="000000" w:themeColor="text1"/>
        </w:rPr>
      </w:pPr>
    </w:p>
    <w:p w:rsidR="00955840" w:rsidRPr="00955840" w:rsidRDefault="00955840" w:rsidP="00955840">
      <w:pPr>
        <w:rPr>
          <w:color w:val="000000" w:themeColor="text1"/>
        </w:rPr>
      </w:pPr>
    </w:p>
    <w:p w:rsidR="00955840" w:rsidRPr="00955840" w:rsidRDefault="00955840" w:rsidP="00955840">
      <w:pPr>
        <w:pStyle w:val="Heading1"/>
        <w:keepNext/>
        <w:rPr>
          <w:color w:val="000000" w:themeColor="text1"/>
        </w:rPr>
      </w:pPr>
      <w:r w:rsidRPr="00955840">
        <w:rPr>
          <w:color w:val="000000" w:themeColor="text1"/>
        </w:rPr>
        <w:t>Section 4 - Contact Details and Background Papers</w:t>
      </w:r>
    </w:p>
    <w:p w:rsidR="00955840" w:rsidRPr="00955840" w:rsidRDefault="00955840" w:rsidP="00955840">
      <w:pPr>
        <w:keepNext/>
        <w:rPr>
          <w:rFonts w:cs="Arial"/>
          <w:color w:val="000000" w:themeColor="text1"/>
        </w:rPr>
      </w:pPr>
    </w:p>
    <w:p w:rsidR="00955840" w:rsidRPr="00955840" w:rsidRDefault="00955840" w:rsidP="00955840">
      <w:pPr>
        <w:keepNext/>
        <w:rPr>
          <w:color w:val="000000" w:themeColor="text1"/>
        </w:rPr>
      </w:pPr>
    </w:p>
    <w:p w:rsidR="00955840" w:rsidRPr="00955840" w:rsidRDefault="00955840" w:rsidP="00955840">
      <w:pPr>
        <w:pStyle w:val="Infotext"/>
        <w:rPr>
          <w:color w:val="000000" w:themeColor="text1"/>
        </w:rPr>
      </w:pPr>
      <w:r w:rsidRPr="00955840">
        <w:rPr>
          <w:b/>
          <w:color w:val="000000" w:themeColor="text1"/>
        </w:rPr>
        <w:t>Contact:</w:t>
      </w:r>
      <w:r w:rsidRPr="00955840">
        <w:rPr>
          <w:color w:val="000000" w:themeColor="text1"/>
        </w:rPr>
        <w:t xml:space="preserve">  </w:t>
      </w:r>
      <w:r w:rsidRPr="00955840">
        <w:rPr>
          <w:rFonts w:cs="Arial"/>
          <w:color w:val="000000" w:themeColor="text1"/>
          <w:sz w:val="24"/>
        </w:rPr>
        <w:t>Mario Casiero, Service development manager, Adult social care 020 8424 1023</w:t>
      </w:r>
    </w:p>
    <w:p w:rsidR="00955840" w:rsidRPr="00955840" w:rsidRDefault="00955840" w:rsidP="00955840">
      <w:pPr>
        <w:rPr>
          <w:color w:val="000000" w:themeColor="text1"/>
        </w:rPr>
      </w:pPr>
    </w:p>
    <w:p w:rsidR="00955840" w:rsidRPr="00955840" w:rsidRDefault="00955840" w:rsidP="00955840">
      <w:pPr>
        <w:rPr>
          <w:color w:val="000000" w:themeColor="text1"/>
        </w:rPr>
      </w:pPr>
    </w:p>
    <w:p w:rsidR="00955840" w:rsidRPr="00955840" w:rsidRDefault="00955840" w:rsidP="00955840">
      <w:pPr>
        <w:pStyle w:val="Infotext"/>
        <w:rPr>
          <w:rFonts w:cs="Arial"/>
          <w:color w:val="000000" w:themeColor="text1"/>
          <w:sz w:val="24"/>
        </w:rPr>
      </w:pPr>
      <w:r w:rsidRPr="00955840">
        <w:rPr>
          <w:b/>
          <w:color w:val="000000" w:themeColor="text1"/>
        </w:rPr>
        <w:t>Background Papers:</w:t>
      </w:r>
      <w:r w:rsidRPr="00955840">
        <w:rPr>
          <w:color w:val="000000" w:themeColor="text1"/>
        </w:rPr>
        <w:t xml:space="preserve">  </w:t>
      </w:r>
      <w:r w:rsidRPr="00955840">
        <w:rPr>
          <w:rFonts w:cs="Arial"/>
          <w:color w:val="000000" w:themeColor="text1"/>
          <w:sz w:val="24"/>
        </w:rPr>
        <w:t xml:space="preserve">List </w:t>
      </w:r>
      <w:r w:rsidRPr="00955840">
        <w:rPr>
          <w:rFonts w:cs="Arial"/>
          <w:b/>
          <w:bCs/>
          <w:color w:val="000000" w:themeColor="text1"/>
          <w:sz w:val="24"/>
        </w:rPr>
        <w:t>only non-exempt</w:t>
      </w:r>
      <w:r w:rsidRPr="00955840">
        <w:rPr>
          <w:rFonts w:cs="Arial"/>
          <w:color w:val="000000" w:themeColor="text1"/>
          <w:sz w:val="24"/>
        </w:rPr>
        <w:t xml:space="preserve"> documents (</w:t>
      </w:r>
      <w:r w:rsidR="00970907" w:rsidRPr="00955840">
        <w:rPr>
          <w:rFonts w:cs="Arial"/>
          <w:color w:val="000000" w:themeColor="text1"/>
          <w:sz w:val="24"/>
        </w:rPr>
        <w:t>i.e.</w:t>
      </w:r>
      <w:r w:rsidRPr="00955840">
        <w:rPr>
          <w:rFonts w:cs="Arial"/>
          <w:color w:val="000000" w:themeColor="text1"/>
          <w:sz w:val="24"/>
        </w:rPr>
        <w:t xml:space="preserve"> not Private and Confidential/Part II documents) relied on to a material extent in preparing the report (</w:t>
      </w:r>
      <w:r w:rsidR="00970907" w:rsidRPr="00955840">
        <w:rPr>
          <w:rFonts w:cs="Arial"/>
          <w:color w:val="000000" w:themeColor="text1"/>
          <w:sz w:val="24"/>
        </w:rPr>
        <w:t>e.g.</w:t>
      </w:r>
      <w:r w:rsidRPr="00955840">
        <w:rPr>
          <w:rFonts w:cs="Arial"/>
          <w:color w:val="000000" w:themeColor="text1"/>
          <w:sz w:val="24"/>
        </w:rPr>
        <w:t xml:space="preserve"> previous reports).  Where possible also include a web link to the documents.</w:t>
      </w:r>
    </w:p>
    <w:p w:rsidR="00955840" w:rsidRPr="00955840" w:rsidRDefault="00955840" w:rsidP="00955840">
      <w:pPr>
        <w:pStyle w:val="Infotext"/>
        <w:rPr>
          <w:color w:val="1F497D"/>
        </w:rPr>
      </w:pPr>
    </w:p>
    <w:p w:rsidR="00955840" w:rsidRPr="00955840" w:rsidRDefault="00955840" w:rsidP="00955840">
      <w:pPr>
        <w:pStyle w:val="Infotext"/>
        <w:rPr>
          <w:color w:val="1F497D"/>
        </w:rPr>
      </w:pPr>
    </w:p>
    <w:p w:rsidR="00955840" w:rsidRDefault="00955840">
      <w:pPr>
        <w:rPr>
          <w:rFonts w:cs="Arial"/>
        </w:rPr>
      </w:pPr>
    </w:p>
    <w:sectPr w:rsidR="00955840" w:rsidSect="000064A3">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170" w:rsidRDefault="00712170">
      <w:r>
        <w:separator/>
      </w:r>
    </w:p>
  </w:endnote>
  <w:endnote w:type="continuationSeparator" w:id="0">
    <w:p w:rsidR="00712170" w:rsidRDefault="0071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170" w:rsidRDefault="00712170">
      <w:r>
        <w:separator/>
      </w:r>
    </w:p>
  </w:footnote>
  <w:footnote w:type="continuationSeparator" w:id="0">
    <w:p w:rsidR="00712170" w:rsidRDefault="00712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4A5156"/>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0A60B7"/>
    <w:multiLevelType w:val="hybridMultilevel"/>
    <w:tmpl w:val="1A58F396"/>
    <w:lvl w:ilvl="0" w:tplc="08090001">
      <w:start w:val="1"/>
      <w:numFmt w:val="bullet"/>
      <w:lvlText w:val=""/>
      <w:lvlJc w:val="left"/>
      <w:pPr>
        <w:tabs>
          <w:tab w:val="num" w:pos="1080"/>
        </w:tabs>
        <w:ind w:left="1080" w:hanging="360"/>
      </w:pPr>
      <w:rPr>
        <w:rFonts w:ascii="Symbol" w:hAnsi="Symbol" w:hint="default"/>
      </w:rPr>
    </w:lvl>
    <w:lvl w:ilvl="1" w:tplc="E0FCDAA0">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043BCC"/>
    <w:multiLevelType w:val="hybridMultilevel"/>
    <w:tmpl w:val="7CEE1394"/>
    <w:lvl w:ilvl="0" w:tplc="0809000F">
      <w:start w:val="1"/>
      <w:numFmt w:val="decimal"/>
      <w:lvlText w:val="%1."/>
      <w:lvlJc w:val="left"/>
      <w:pPr>
        <w:tabs>
          <w:tab w:val="num" w:pos="720"/>
        </w:tabs>
        <w:ind w:left="720" w:hanging="360"/>
      </w:pPr>
      <w:rPr>
        <w:rFonts w:hint="default"/>
      </w:rPr>
    </w:lvl>
    <w:lvl w:ilvl="1" w:tplc="3B26706A">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1A8577E"/>
    <w:multiLevelType w:val="hybridMultilevel"/>
    <w:tmpl w:val="E7D800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23801D4"/>
    <w:multiLevelType w:val="hybridMultilevel"/>
    <w:tmpl w:val="AC7C903A"/>
    <w:lvl w:ilvl="0" w:tplc="08090001">
      <w:start w:val="1"/>
      <w:numFmt w:val="bullet"/>
      <w:lvlText w:val=""/>
      <w:lvlJc w:val="left"/>
      <w:pPr>
        <w:tabs>
          <w:tab w:val="num" w:pos="1080"/>
        </w:tabs>
        <w:ind w:left="1080" w:hanging="360"/>
      </w:pPr>
      <w:rPr>
        <w:rFonts w:ascii="Symbol" w:hAnsi="Symbol" w:hint="default"/>
      </w:rPr>
    </w:lvl>
    <w:lvl w:ilvl="1" w:tplc="0B40FEA4">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226816C7"/>
    <w:multiLevelType w:val="hybridMultilevel"/>
    <w:tmpl w:val="1FCC44B6"/>
    <w:lvl w:ilvl="0" w:tplc="62BE9E04">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EC0C3D"/>
    <w:multiLevelType w:val="hybridMultilevel"/>
    <w:tmpl w:val="66D2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35730F"/>
    <w:multiLevelType w:val="hybridMultilevel"/>
    <w:tmpl w:val="28CEE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0514E3"/>
    <w:multiLevelType w:val="multilevel"/>
    <w:tmpl w:val="07187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E03FFC"/>
    <w:multiLevelType w:val="hybridMultilevel"/>
    <w:tmpl w:val="D28A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C21A0A"/>
    <w:multiLevelType w:val="hybridMultilevel"/>
    <w:tmpl w:val="3738AE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3B8930B4"/>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2">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5C290A"/>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6045B30"/>
    <w:multiLevelType w:val="hybridMultilevel"/>
    <w:tmpl w:val="00BEE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287122"/>
    <w:multiLevelType w:val="hybridMultilevel"/>
    <w:tmpl w:val="07187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9351F7"/>
    <w:multiLevelType w:val="hybridMultilevel"/>
    <w:tmpl w:val="B146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F25AFF"/>
    <w:multiLevelType w:val="hybridMultilevel"/>
    <w:tmpl w:val="5A9C6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5">
    <w:nsid w:val="6F986CCC"/>
    <w:multiLevelType w:val="hybridMultilevel"/>
    <w:tmpl w:val="988A5334"/>
    <w:lvl w:ilvl="0" w:tplc="08090017">
      <w:start w:val="1"/>
      <w:numFmt w:val="lowerLetter"/>
      <w:lvlText w:val="%1)"/>
      <w:lvlJc w:val="left"/>
      <w:pPr>
        <w:ind w:left="420" w:hanging="360"/>
      </w:pPr>
      <w:rPr>
        <w:rFont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6">
    <w:nsid w:val="714F25CE"/>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7">
    <w:nsid w:val="724E6F85"/>
    <w:multiLevelType w:val="hybridMultilevel"/>
    <w:tmpl w:val="22881F3E"/>
    <w:lvl w:ilvl="0" w:tplc="B5285320">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3985CD7"/>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9B55B7B"/>
    <w:multiLevelType w:val="hybridMultilevel"/>
    <w:tmpl w:val="7AA8DA8C"/>
    <w:lvl w:ilvl="0" w:tplc="044AE40A">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14"/>
  </w:num>
  <w:num w:numId="4">
    <w:abstractNumId w:val="28"/>
  </w:num>
  <w:num w:numId="5">
    <w:abstractNumId w:val="11"/>
  </w:num>
  <w:num w:numId="6">
    <w:abstractNumId w:val="26"/>
  </w:num>
  <w:num w:numId="7">
    <w:abstractNumId w:val="19"/>
  </w:num>
  <w:num w:numId="8">
    <w:abstractNumId w:val="8"/>
  </w:num>
  <w:num w:numId="9">
    <w:abstractNumId w:val="38"/>
  </w:num>
  <w:num w:numId="10">
    <w:abstractNumId w:val="40"/>
  </w:num>
  <w:num w:numId="11">
    <w:abstractNumId w:val="2"/>
  </w:num>
  <w:num w:numId="12">
    <w:abstractNumId w:val="7"/>
  </w:num>
  <w:num w:numId="13">
    <w:abstractNumId w:val="20"/>
  </w:num>
  <w:num w:numId="14">
    <w:abstractNumId w:val="9"/>
  </w:num>
  <w:num w:numId="15">
    <w:abstractNumId w:val="36"/>
  </w:num>
  <w:num w:numId="16">
    <w:abstractNumId w:val="5"/>
  </w:num>
  <w:num w:numId="17">
    <w:abstractNumId w:val="24"/>
  </w:num>
  <w:num w:numId="18">
    <w:abstractNumId w:val="10"/>
  </w:num>
  <w:num w:numId="19">
    <w:abstractNumId w:val="16"/>
  </w:num>
  <w:num w:numId="20">
    <w:abstractNumId w:val="37"/>
  </w:num>
  <w:num w:numId="21">
    <w:abstractNumId w:val="34"/>
  </w:num>
  <w:num w:numId="22">
    <w:abstractNumId w:val="13"/>
  </w:num>
  <w:num w:numId="23">
    <w:abstractNumId w:val="41"/>
  </w:num>
  <w:num w:numId="24">
    <w:abstractNumId w:val="33"/>
  </w:num>
  <w:num w:numId="25">
    <w:abstractNumId w:val="15"/>
  </w:num>
  <w:num w:numId="26">
    <w:abstractNumId w:val="1"/>
  </w:num>
  <w:num w:numId="27">
    <w:abstractNumId w:val="22"/>
  </w:num>
  <w:num w:numId="28">
    <w:abstractNumId w:val="23"/>
  </w:num>
  <w:num w:numId="29">
    <w:abstractNumId w:val="39"/>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1"/>
  </w:num>
  <w:num w:numId="33">
    <w:abstractNumId w:val="6"/>
  </w:num>
  <w:num w:numId="34">
    <w:abstractNumId w:val="4"/>
  </w:num>
  <w:num w:numId="35">
    <w:abstractNumId w:val="31"/>
  </w:num>
  <w:num w:numId="36">
    <w:abstractNumId w:val="42"/>
  </w:num>
  <w:num w:numId="37">
    <w:abstractNumId w:val="29"/>
  </w:num>
  <w:num w:numId="38">
    <w:abstractNumId w:val="3"/>
  </w:num>
  <w:num w:numId="39">
    <w:abstractNumId w:val="12"/>
  </w:num>
  <w:num w:numId="40">
    <w:abstractNumId w:val="35"/>
  </w:num>
  <w:num w:numId="41">
    <w:abstractNumId w:val="30"/>
  </w:num>
  <w:num w:numId="42">
    <w:abstractNumId w:val="18"/>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D6"/>
    <w:rsid w:val="000064A3"/>
    <w:rsid w:val="00036698"/>
    <w:rsid w:val="000417A4"/>
    <w:rsid w:val="00044EA3"/>
    <w:rsid w:val="00046328"/>
    <w:rsid w:val="00063926"/>
    <w:rsid w:val="00075CBB"/>
    <w:rsid w:val="000B28CA"/>
    <w:rsid w:val="000B74AD"/>
    <w:rsid w:val="000D594C"/>
    <w:rsid w:val="000D59D7"/>
    <w:rsid w:val="000F665E"/>
    <w:rsid w:val="001071C4"/>
    <w:rsid w:val="001120D6"/>
    <w:rsid w:val="00131D9D"/>
    <w:rsid w:val="00141F91"/>
    <w:rsid w:val="00156C33"/>
    <w:rsid w:val="00157787"/>
    <w:rsid w:val="001A6BFF"/>
    <w:rsid w:val="001C1569"/>
    <w:rsid w:val="001C2940"/>
    <w:rsid w:val="001E153E"/>
    <w:rsid w:val="001E282E"/>
    <w:rsid w:val="001E6E71"/>
    <w:rsid w:val="00205B6C"/>
    <w:rsid w:val="00262641"/>
    <w:rsid w:val="00267B48"/>
    <w:rsid w:val="00275FE6"/>
    <w:rsid w:val="00277B96"/>
    <w:rsid w:val="00295B66"/>
    <w:rsid w:val="002B7F80"/>
    <w:rsid w:val="002C6464"/>
    <w:rsid w:val="002D077C"/>
    <w:rsid w:val="002D35ED"/>
    <w:rsid w:val="002D45D5"/>
    <w:rsid w:val="002D616C"/>
    <w:rsid w:val="002E7B8B"/>
    <w:rsid w:val="002F046F"/>
    <w:rsid w:val="00310701"/>
    <w:rsid w:val="00313F3C"/>
    <w:rsid w:val="00324A8E"/>
    <w:rsid w:val="00334A92"/>
    <w:rsid w:val="003739BF"/>
    <w:rsid w:val="0037540E"/>
    <w:rsid w:val="003A2F0B"/>
    <w:rsid w:val="003D0D09"/>
    <w:rsid w:val="00431C38"/>
    <w:rsid w:val="00480D23"/>
    <w:rsid w:val="00482882"/>
    <w:rsid w:val="0049070E"/>
    <w:rsid w:val="004D7310"/>
    <w:rsid w:val="004E104D"/>
    <w:rsid w:val="00507725"/>
    <w:rsid w:val="005200DF"/>
    <w:rsid w:val="00527689"/>
    <w:rsid w:val="005441BD"/>
    <w:rsid w:val="005550E8"/>
    <w:rsid w:val="00587227"/>
    <w:rsid w:val="005961BE"/>
    <w:rsid w:val="005A0494"/>
    <w:rsid w:val="005C49A2"/>
    <w:rsid w:val="005D374F"/>
    <w:rsid w:val="005D3881"/>
    <w:rsid w:val="006003F7"/>
    <w:rsid w:val="00612A64"/>
    <w:rsid w:val="00617F63"/>
    <w:rsid w:val="006377D6"/>
    <w:rsid w:val="0064559E"/>
    <w:rsid w:val="00646696"/>
    <w:rsid w:val="006534D6"/>
    <w:rsid w:val="006B5F35"/>
    <w:rsid w:val="006D7C86"/>
    <w:rsid w:val="00712170"/>
    <w:rsid w:val="00713DA0"/>
    <w:rsid w:val="007217F4"/>
    <w:rsid w:val="007444BF"/>
    <w:rsid w:val="007629B6"/>
    <w:rsid w:val="00777253"/>
    <w:rsid w:val="00780A65"/>
    <w:rsid w:val="00812664"/>
    <w:rsid w:val="008503F9"/>
    <w:rsid w:val="00886F28"/>
    <w:rsid w:val="008951A2"/>
    <w:rsid w:val="008C00C6"/>
    <w:rsid w:val="008E28E4"/>
    <w:rsid w:val="008F1A15"/>
    <w:rsid w:val="008F1AB0"/>
    <w:rsid w:val="00900324"/>
    <w:rsid w:val="00915FD6"/>
    <w:rsid w:val="00925AAE"/>
    <w:rsid w:val="00930C42"/>
    <w:rsid w:val="009366AD"/>
    <w:rsid w:val="00937DB5"/>
    <w:rsid w:val="00955840"/>
    <w:rsid w:val="00962609"/>
    <w:rsid w:val="00970907"/>
    <w:rsid w:val="00973739"/>
    <w:rsid w:val="009761ED"/>
    <w:rsid w:val="00992464"/>
    <w:rsid w:val="009D1916"/>
    <w:rsid w:val="009F7E5A"/>
    <w:rsid w:val="00A063C8"/>
    <w:rsid w:val="00A1569A"/>
    <w:rsid w:val="00A1579E"/>
    <w:rsid w:val="00A24E62"/>
    <w:rsid w:val="00A3050F"/>
    <w:rsid w:val="00A364A3"/>
    <w:rsid w:val="00A63868"/>
    <w:rsid w:val="00A656CF"/>
    <w:rsid w:val="00A80F10"/>
    <w:rsid w:val="00AA1879"/>
    <w:rsid w:val="00AA1D1C"/>
    <w:rsid w:val="00AB6E5B"/>
    <w:rsid w:val="00B25AF8"/>
    <w:rsid w:val="00B36547"/>
    <w:rsid w:val="00B46301"/>
    <w:rsid w:val="00B50D94"/>
    <w:rsid w:val="00B52CA3"/>
    <w:rsid w:val="00B725B1"/>
    <w:rsid w:val="00B75672"/>
    <w:rsid w:val="00B776F3"/>
    <w:rsid w:val="00B83D00"/>
    <w:rsid w:val="00B97261"/>
    <w:rsid w:val="00BB7807"/>
    <w:rsid w:val="00BD0B97"/>
    <w:rsid w:val="00BD6F2D"/>
    <w:rsid w:val="00C236B6"/>
    <w:rsid w:val="00C316E9"/>
    <w:rsid w:val="00C37118"/>
    <w:rsid w:val="00C647A2"/>
    <w:rsid w:val="00C817CB"/>
    <w:rsid w:val="00C82F8A"/>
    <w:rsid w:val="00C928FC"/>
    <w:rsid w:val="00CC1569"/>
    <w:rsid w:val="00CC306F"/>
    <w:rsid w:val="00D107B2"/>
    <w:rsid w:val="00D16E14"/>
    <w:rsid w:val="00D4068D"/>
    <w:rsid w:val="00D43EFE"/>
    <w:rsid w:val="00D86C2E"/>
    <w:rsid w:val="00DA38BD"/>
    <w:rsid w:val="00DB464E"/>
    <w:rsid w:val="00DE0604"/>
    <w:rsid w:val="00DE6CC7"/>
    <w:rsid w:val="00E0775D"/>
    <w:rsid w:val="00E115B6"/>
    <w:rsid w:val="00E1193A"/>
    <w:rsid w:val="00E446E9"/>
    <w:rsid w:val="00E55314"/>
    <w:rsid w:val="00E91983"/>
    <w:rsid w:val="00EF5EFC"/>
    <w:rsid w:val="00EF71BD"/>
    <w:rsid w:val="00F037DB"/>
    <w:rsid w:val="00F1064F"/>
    <w:rsid w:val="00F12C0A"/>
    <w:rsid w:val="00F45ADF"/>
    <w:rsid w:val="00F63742"/>
    <w:rsid w:val="00FB23F5"/>
    <w:rsid w:val="00FC2AC3"/>
    <w:rsid w:val="00FD21C6"/>
    <w:rsid w:val="00FD7BB9"/>
    <w:rsid w:val="00FE2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D7310"/>
    <w:pPr>
      <w:outlineLvl w:val="0"/>
    </w:pPr>
    <w:rPr>
      <w:rFonts w:ascii="Arial Black" w:hAnsi="Arial Black"/>
      <w:b w:val="0"/>
      <w:sz w:val="32"/>
    </w:rPr>
  </w:style>
  <w:style w:type="paragraph" w:styleId="Heading2">
    <w:name w:val="heading 2"/>
    <w:basedOn w:val="Normal"/>
    <w:next w:val="Normal"/>
    <w:link w:val="Heading2Char"/>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uiPriority w:val="34"/>
    <w:qFormat/>
    <w:rsid w:val="00F63742"/>
    <w:pPr>
      <w:ind w:left="720"/>
    </w:pPr>
    <w:rPr>
      <w:rFonts w:eastAsia="Calibri" w:cs="Arial"/>
      <w:color w:val="000000"/>
      <w:sz w:val="22"/>
      <w:szCs w:val="22"/>
      <w:lang w:eastAsia="en-GB"/>
    </w:rPr>
  </w:style>
  <w:style w:type="paragraph" w:customStyle="1" w:styleId="CharCharCharChar0">
    <w:name w:val="Char Char Char Char"/>
    <w:basedOn w:val="Normal"/>
    <w:locked/>
    <w:rsid w:val="00930C42"/>
    <w:pPr>
      <w:spacing w:after="160" w:line="240" w:lineRule="exact"/>
    </w:pPr>
    <w:rPr>
      <w:rFonts w:ascii="Verdana" w:hAnsi="Verdana"/>
      <w:sz w:val="20"/>
      <w:lang w:val="en-US"/>
    </w:rPr>
  </w:style>
  <w:style w:type="paragraph" w:customStyle="1" w:styleId="Default">
    <w:name w:val="Default"/>
    <w:rsid w:val="00955840"/>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955840"/>
    <w:rPr>
      <w:rFonts w:ascii="Arial" w:hAnsi="Arial" w:cs="Arial"/>
      <w:b/>
      <w:bCs/>
      <w:sz w:val="28"/>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D7310"/>
    <w:pPr>
      <w:outlineLvl w:val="0"/>
    </w:pPr>
    <w:rPr>
      <w:rFonts w:ascii="Arial Black" w:hAnsi="Arial Black"/>
      <w:b w:val="0"/>
      <w:sz w:val="32"/>
    </w:rPr>
  </w:style>
  <w:style w:type="paragraph" w:styleId="Heading2">
    <w:name w:val="heading 2"/>
    <w:basedOn w:val="Normal"/>
    <w:next w:val="Normal"/>
    <w:link w:val="Heading2Char"/>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uiPriority w:val="34"/>
    <w:qFormat/>
    <w:rsid w:val="00F63742"/>
    <w:pPr>
      <w:ind w:left="720"/>
    </w:pPr>
    <w:rPr>
      <w:rFonts w:eastAsia="Calibri" w:cs="Arial"/>
      <w:color w:val="000000"/>
      <w:sz w:val="22"/>
      <w:szCs w:val="22"/>
      <w:lang w:eastAsia="en-GB"/>
    </w:rPr>
  </w:style>
  <w:style w:type="paragraph" w:customStyle="1" w:styleId="CharCharCharChar0">
    <w:name w:val="Char Char Char Char"/>
    <w:basedOn w:val="Normal"/>
    <w:locked/>
    <w:rsid w:val="00930C42"/>
    <w:pPr>
      <w:spacing w:after="160" w:line="240" w:lineRule="exact"/>
    </w:pPr>
    <w:rPr>
      <w:rFonts w:ascii="Verdana" w:hAnsi="Verdana"/>
      <w:sz w:val="20"/>
      <w:lang w:val="en-US"/>
    </w:rPr>
  </w:style>
  <w:style w:type="paragraph" w:customStyle="1" w:styleId="Default">
    <w:name w:val="Default"/>
    <w:rsid w:val="00955840"/>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955840"/>
    <w:rPr>
      <w:rFonts w:ascii="Arial" w:hAnsi="Arial" w:cs="Arial"/>
      <w:b/>
      <w:bCs/>
      <w:sz w:val="28"/>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543905">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harrow.gov.uk/downloads/file/26515/harrow-ccg-and-harrow-council-joint-dementia-strategy-2018-2021" TargetMode="External"/><Relationship Id="rId4" Type="http://schemas.openxmlformats.org/officeDocument/2006/relationships/settings" Target="settings.xml"/><Relationship Id="rId9" Type="http://schemas.openxmlformats.org/officeDocument/2006/relationships/hyperlink" Target="https://www.harrow.gov.uk/downloads/file/26515/harrow-ccg-and-harrow-council-joint-dementia-strategy-2018-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2672</Words>
  <Characters>15250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17887</CharactersWithSpaces>
  <SharedDoc>false</SharedDoc>
  <HLinks>
    <vt:vector size="18" baseType="variant">
      <vt:variant>
        <vt:i4>3801169</vt:i4>
      </vt:variant>
      <vt:variant>
        <vt:i4>6</vt:i4>
      </vt:variant>
      <vt:variant>
        <vt:i4>0</vt:i4>
      </vt:variant>
      <vt:variant>
        <vt:i4>5</vt:i4>
      </vt:variant>
      <vt:variant>
        <vt:lpwstr>https://harrowhub.harrow.gov.uk/downloads/file/9713/committee_report_template_-_implications_guidance</vt:lpwstr>
      </vt:variant>
      <vt:variant>
        <vt:lpwstr/>
      </vt:variant>
      <vt:variant>
        <vt:i4>3801169</vt:i4>
      </vt:variant>
      <vt:variant>
        <vt:i4>3</vt:i4>
      </vt:variant>
      <vt:variant>
        <vt:i4>0</vt:i4>
      </vt:variant>
      <vt:variant>
        <vt:i4>5</vt:i4>
      </vt:variant>
      <vt:variant>
        <vt:lpwstr>https://harrowhub.harrow.gov.uk/downloads/file/9713/committee_report_template_-_implications_guidance</vt:lpwstr>
      </vt:variant>
      <vt:variant>
        <vt:lpwstr/>
      </vt:variant>
      <vt:variant>
        <vt:i4>3801169</vt:i4>
      </vt:variant>
      <vt:variant>
        <vt:i4>0</vt:i4>
      </vt:variant>
      <vt:variant>
        <vt:i4>0</vt:i4>
      </vt:variant>
      <vt:variant>
        <vt:i4>5</vt:i4>
      </vt:variant>
      <vt:variant>
        <vt:lpwstr>https://harrowhub.harrow.gov.uk/downloads/file/9713/committee_report_template_-_implications_guidance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Daksha Ghelani</cp:lastModifiedBy>
  <cp:revision>4</cp:revision>
  <cp:lastPrinted>2009-12-01T14:09:00Z</cp:lastPrinted>
  <dcterms:created xsi:type="dcterms:W3CDTF">2019-10-23T16:48:00Z</dcterms:created>
  <dcterms:modified xsi:type="dcterms:W3CDTF">2019-10-24T09:45:00Z</dcterms:modified>
</cp:coreProperties>
</file>